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6409B">
      <w:pPr>
        <w:adjustRightInd w:val="0"/>
        <w:snapToGrid w:val="0"/>
        <w:spacing w:before="120" w:after="120" w:line="276" w:lineRule="auto"/>
        <w:jc w:val="center"/>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b/>
          <w:bCs/>
          <w:color w:val="000000"/>
          <w:sz w:val="30"/>
          <w:szCs w:val="30"/>
          <w:highlight w:val="none"/>
          <w:lang w:eastAsia="zh-CN"/>
        </w:rPr>
        <w:t>询价</w:t>
      </w:r>
      <w:r>
        <w:rPr>
          <w:rFonts w:hint="eastAsia" w:ascii="仿宋_GB2312" w:hAnsi="仿宋_GB2312" w:eastAsia="仿宋_GB2312" w:cs="仿宋_GB2312"/>
          <w:b/>
          <w:bCs/>
          <w:color w:val="000000"/>
          <w:sz w:val="30"/>
          <w:szCs w:val="30"/>
          <w:highlight w:val="none"/>
        </w:rPr>
        <w:t>文件</w:t>
      </w:r>
    </w:p>
    <w:p w14:paraId="0D0FAD54">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东莞市大学创新城建设发展</w:t>
      </w:r>
      <w:r>
        <w:rPr>
          <w:rFonts w:hint="eastAsia" w:ascii="仿宋_GB2312" w:hAnsi="仿宋_GB2312" w:eastAsia="仿宋_GB2312" w:cs="仿宋_GB2312"/>
          <w:color w:val="000000"/>
          <w:sz w:val="24"/>
          <w:szCs w:val="24"/>
          <w:highlight w:val="none"/>
        </w:rPr>
        <w:t>有限公司</w:t>
      </w:r>
      <w:r>
        <w:rPr>
          <w:rFonts w:hint="eastAsia" w:ascii="仿宋_GB2312" w:hAnsi="仿宋_GB2312" w:eastAsia="仿宋_GB2312" w:cs="仿宋_GB2312"/>
          <w:color w:val="000000"/>
          <w:sz w:val="24"/>
          <w:szCs w:val="24"/>
          <w:highlight w:val="none"/>
          <w:lang w:val="en-US" w:eastAsia="zh-CN"/>
        </w:rPr>
        <w:t>拟选择监理服务机构完成</w:t>
      </w:r>
      <w:r>
        <w:rPr>
          <w:rFonts w:hint="eastAsia" w:ascii="仿宋_GB2312" w:hAnsi="仿宋_GB2312" w:eastAsia="仿宋_GB2312" w:cs="仿宋_GB2312"/>
          <w:color w:val="000000"/>
          <w:sz w:val="24"/>
          <w:szCs w:val="24"/>
          <w:highlight w:val="none"/>
          <w:u w:val="single"/>
          <w:lang w:val="en-US" w:eastAsia="zh-CN"/>
        </w:rPr>
        <w:t>松山湖国际创新创业社区G4栋10楼装修项目监理服务工作</w:t>
      </w:r>
      <w:r>
        <w:rPr>
          <w:rFonts w:hint="eastAsia" w:ascii="仿宋_GB2312" w:hAnsi="仿宋_GB2312" w:eastAsia="仿宋_GB2312" w:cs="仿宋_GB2312"/>
          <w:color w:val="000000"/>
          <w:sz w:val="24"/>
          <w:szCs w:val="24"/>
          <w:highlight w:val="none"/>
          <w:lang w:val="en-US" w:eastAsia="zh-CN"/>
        </w:rPr>
        <w:t>，诚邀具有监理资质的单位前来参加本次项目的询报价活动，现将有关事项说明如下：</w:t>
      </w:r>
      <w:bookmarkStart w:id="9" w:name="_GoBack"/>
      <w:bookmarkEnd w:id="9"/>
    </w:p>
    <w:p w14:paraId="022A61B5">
      <w:pPr>
        <w:spacing w:line="600" w:lineRule="exact"/>
        <w:ind w:firstLine="482" w:firstLineChars="200"/>
        <w:rPr>
          <w:rFonts w:hint="eastAsia"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一、项目基本情况及内容</w:t>
      </w:r>
    </w:p>
    <w:p w14:paraId="16E5664F">
      <w:pPr>
        <w:spacing w:line="600" w:lineRule="exact"/>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（一）东莞市松山湖国际创新创业社区G4栋10楼装修项目，场地面积约1000㎡，含基本展厅区域、洽谈区域、办公区域，最终建设规模及内容以相关批复定稿文件为准；</w:t>
      </w:r>
    </w:p>
    <w:p w14:paraId="70999FDE">
      <w:pPr>
        <w:spacing w:line="600" w:lineRule="exact"/>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（二）总投资为310万元（投资金额以最终批复的文件为准）；</w:t>
      </w:r>
    </w:p>
    <w:p w14:paraId="0FA74881">
      <w:pPr>
        <w:spacing w:line="600" w:lineRule="exact"/>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三）服务范围：社区G4栋10楼装修项目监理服务范围包括但不限于：装饰工程；安装工程；消防工程；通风空调工程；展厅陈列布展工程；专业灯光；多媒体系统工程；智能化、网络系统工程，数字内容制作等。具体按本工程施工图设计内容、签订的施工合同内容、设计变更内容和经采购人批准的工程变更等内容进行监理；保修阶段工程监理，按有关监理规范完成；</w:t>
      </w:r>
    </w:p>
    <w:p w14:paraId="304418D6">
      <w:pPr>
        <w:spacing w:line="600" w:lineRule="exact"/>
        <w:ind w:firstLine="480" w:firstLineChars="200"/>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（四）服务地点：松山湖国际创新创业社区G4栋；</w:t>
      </w:r>
    </w:p>
    <w:p w14:paraId="2050D907">
      <w:pPr>
        <w:spacing w:line="600" w:lineRule="exact"/>
        <w:ind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lang w:val="en-US" w:eastAsia="zh-CN"/>
        </w:rPr>
        <w:t>（五）服务期为：</w:t>
      </w:r>
      <w:r>
        <w:rPr>
          <w:rFonts w:hint="eastAsia" w:ascii="仿宋_GB2312" w:hAnsi="仿宋_GB2312" w:eastAsia="仿宋_GB2312" w:cs="仿宋_GB2312"/>
          <w:strike w:val="0"/>
          <w:dstrike w:val="0"/>
          <w:color w:val="auto"/>
          <w:sz w:val="24"/>
          <w:szCs w:val="24"/>
          <w:highlight w:val="none"/>
          <w:u w:val="none"/>
          <w:shd w:val="clear" w:fill="auto"/>
          <w:lang w:val="en-US" w:eastAsia="zh-CN"/>
        </w:rPr>
        <w:t>1年</w:t>
      </w:r>
      <w:r>
        <w:rPr>
          <w:rFonts w:hint="eastAsia" w:ascii="仿宋_GB2312" w:hAnsi="仿宋_GB2312" w:eastAsia="仿宋_GB2312" w:cs="仿宋_GB2312"/>
          <w:color w:val="000000"/>
          <w:sz w:val="24"/>
          <w:szCs w:val="24"/>
          <w:highlight w:val="none"/>
          <w:u w:val="single"/>
          <w:lang w:val="en-US" w:eastAsia="zh-CN"/>
        </w:rPr>
        <w:t>或项目完成；</w:t>
      </w:r>
    </w:p>
    <w:p w14:paraId="0C4CA3E7">
      <w:pPr>
        <w:spacing w:line="600" w:lineRule="exact"/>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（六）监理服务费暂估金额：</w:t>
      </w:r>
      <w:r>
        <w:rPr>
          <w:rFonts w:hint="eastAsia" w:ascii="仿宋_GB2312" w:hAnsi="仿宋_GB2312" w:eastAsia="仿宋_GB2312" w:cs="仿宋_GB2312"/>
          <w:color w:val="000000"/>
          <w:sz w:val="24"/>
          <w:szCs w:val="24"/>
          <w:highlight w:val="none"/>
          <w:u w:val="single"/>
          <w:lang w:val="en-US" w:eastAsia="zh-CN"/>
        </w:rPr>
        <w:t>10万元。</w:t>
      </w:r>
    </w:p>
    <w:p w14:paraId="70755E13">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二、项目发布</w:t>
      </w:r>
    </w:p>
    <w:p w14:paraId="13FA25F3">
      <w:pPr>
        <w:adjustRightInd w:val="0"/>
        <w:snapToGrid w:val="0"/>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auto"/>
          <w:sz w:val="24"/>
          <w:szCs w:val="24"/>
          <w:highlight w:val="none"/>
        </w:rPr>
        <w:t>本采购项目信息在</w:t>
      </w:r>
      <w:r>
        <w:rPr>
          <w:rFonts w:hint="eastAsia" w:ascii="仿宋_GB2312" w:hAnsi="仿宋_GB2312" w:eastAsia="仿宋_GB2312" w:cs="仿宋_GB2312"/>
          <w:color w:val="auto"/>
          <w:sz w:val="24"/>
          <w:szCs w:val="24"/>
          <w:highlight w:val="none"/>
          <w:lang w:val="en-US" w:eastAsia="zh-CN"/>
        </w:rPr>
        <w:t>松山湖国际创新创业社区官网</w:t>
      </w:r>
      <w:r>
        <w:rPr>
          <w:rFonts w:hint="eastAsia" w:ascii="仿宋_GB2312" w:hAnsi="仿宋_GB2312" w:eastAsia="仿宋_GB2312" w:cs="仿宋_GB2312"/>
          <w:color w:val="auto"/>
          <w:sz w:val="24"/>
          <w:szCs w:val="24"/>
          <w:highlight w:val="none"/>
        </w:rPr>
        <w:t>（http://www.sliiec.net.cn/）</w:t>
      </w:r>
      <w:r>
        <w:rPr>
          <w:rFonts w:hint="eastAsia" w:ascii="仿宋_GB2312" w:hAnsi="仿宋_GB2312" w:eastAsia="仿宋_GB2312" w:cs="仿宋_GB2312"/>
          <w:color w:val="auto"/>
          <w:sz w:val="24"/>
          <w:szCs w:val="24"/>
          <w:highlight w:val="none"/>
          <w:lang w:val="en-US" w:eastAsia="zh-CN"/>
        </w:rPr>
        <w:t>社区资讯-招标采购栏目</w:t>
      </w:r>
      <w:r>
        <w:rPr>
          <w:rFonts w:hint="eastAsia" w:ascii="仿宋_GB2312" w:hAnsi="仿宋_GB2312" w:eastAsia="仿宋_GB2312" w:cs="仿宋_GB2312"/>
          <w:color w:val="auto"/>
          <w:sz w:val="24"/>
          <w:szCs w:val="24"/>
          <w:highlight w:val="none"/>
        </w:rPr>
        <w:t>发布。</w:t>
      </w:r>
    </w:p>
    <w:p w14:paraId="3D357F38">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strike w:val="0"/>
          <w:dstrike w:val="0"/>
          <w:color w:val="auto"/>
          <w:sz w:val="24"/>
          <w:szCs w:val="24"/>
          <w:highlight w:val="none"/>
          <w:u w:val="none"/>
          <w:shd w:val="clear" w:fill="auto"/>
        </w:rPr>
        <w:sym w:font="Wingdings" w:char="F0AB"/>
      </w:r>
      <w:r>
        <w:rPr>
          <w:rFonts w:hint="eastAsia" w:ascii="仿宋_GB2312" w:hAnsi="仿宋_GB2312" w:eastAsia="仿宋_GB2312" w:cs="仿宋_GB2312"/>
          <w:b/>
          <w:bCs/>
          <w:color w:val="000000"/>
          <w:sz w:val="24"/>
          <w:szCs w:val="24"/>
          <w:highlight w:val="none"/>
        </w:rPr>
        <w:t>三、响应人资格要求</w:t>
      </w:r>
    </w:p>
    <w:p w14:paraId="5DE29DF1">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rPr>
        <w:t>投标人须为在中华人民共和国境内登记注册的具有独立承担民事责任能力的法人或其他组织【提供《营业执照》复印件（加盖公章）或《事业单位法人证书》复印件（加盖公章）或其他主体证书复印件（加盖公章）】。</w:t>
      </w:r>
    </w:p>
    <w:p w14:paraId="76268ADA">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（二）</w:t>
      </w:r>
      <w:r>
        <w:rPr>
          <w:rFonts w:hint="eastAsia" w:ascii="仿宋_GB2312" w:hAnsi="仿宋_GB2312" w:eastAsia="仿宋_GB2312" w:cs="仿宋_GB2312"/>
          <w:sz w:val="24"/>
          <w:szCs w:val="24"/>
          <w:highlight w:val="none"/>
        </w:rPr>
        <w:t>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04456E89">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（三）</w:t>
      </w:r>
      <w:r>
        <w:rPr>
          <w:rFonts w:hint="eastAsia" w:ascii="仿宋_GB2312" w:hAnsi="仿宋_GB2312" w:eastAsia="仿宋_GB2312" w:cs="仿宋_GB2312"/>
          <w:sz w:val="24"/>
          <w:szCs w:val="24"/>
          <w:highlight w:val="none"/>
        </w:rPr>
        <w:t>投标人的单位负责人为同一人或者存在直接控股、管理关系的不同投标人，不得参加同一合同项下的采购活动。</w:t>
      </w:r>
    </w:p>
    <w:p w14:paraId="337E1F34">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（四）</w:t>
      </w:r>
      <w:r>
        <w:rPr>
          <w:rFonts w:hint="eastAsia" w:ascii="仿宋_GB2312" w:hAnsi="仿宋_GB2312" w:eastAsia="仿宋_GB2312" w:cs="仿宋_GB2312"/>
          <w:sz w:val="24"/>
          <w:szCs w:val="24"/>
          <w:highlight w:val="none"/>
        </w:rPr>
        <w:t>未被列入“信用中国”网站(www.creditchina.gov.cn</w:t>
      </w:r>
      <w:r>
        <w:rPr>
          <w:rFonts w:hint="eastAsia" w:ascii="仿宋_GB2312" w:hAnsi="仿宋_GB2312" w:eastAsia="仿宋_GB2312" w:cs="仿宋_GB2312"/>
          <w:strike w:val="0"/>
          <w:dstrike w:val="0"/>
          <w:color w:val="auto"/>
          <w:sz w:val="24"/>
          <w:szCs w:val="24"/>
          <w:highlight w:val="none"/>
          <w:u w:val="none"/>
          <w:shd w:val="clear" w:fill="auto"/>
        </w:rPr>
        <w:t xml:space="preserve"> </w:t>
      </w:r>
      <w:r>
        <w:rPr>
          <w:rFonts w:hint="eastAsia" w:ascii="仿宋_GB2312" w:hAnsi="仿宋_GB2312" w:eastAsia="仿宋_GB2312" w:cs="仿宋_GB2312"/>
          <w:sz w:val="24"/>
          <w:szCs w:val="24"/>
          <w:highlight w:val="none"/>
        </w:rPr>
        <w:t>)“记录失信被执行人或重大税收违法失信主体或政府采购严重违法失信行为”记录名单。以投标截止日当天在“信用中国”网站查询结果为准，如相关失信记录已失效，投标人需提供相关证明资料。</w:t>
      </w:r>
    </w:p>
    <w:p w14:paraId="5EFBD7B1">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（五）</w:t>
      </w:r>
      <w:r>
        <w:rPr>
          <w:rFonts w:hint="eastAsia" w:ascii="仿宋_GB2312" w:hAnsi="仿宋_GB2312" w:eastAsia="仿宋_GB2312" w:cs="仿宋_GB2312"/>
          <w:sz w:val="24"/>
          <w:szCs w:val="24"/>
          <w:highlight w:val="none"/>
        </w:rPr>
        <w:t>本项目不接受联合体参与投标；</w:t>
      </w:r>
    </w:p>
    <w:p w14:paraId="5510FE31">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四、采购内容及要求</w:t>
      </w:r>
    </w:p>
    <w:tbl>
      <w:tblPr>
        <w:tblStyle w:val="25"/>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69D56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14:paraId="64C987B0">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1501" w:type="dxa"/>
            <w:vAlign w:val="center"/>
          </w:tcPr>
          <w:p w14:paraId="5FA3A5CC">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条款名称</w:t>
            </w:r>
          </w:p>
        </w:tc>
        <w:tc>
          <w:tcPr>
            <w:tcW w:w="6466" w:type="dxa"/>
            <w:vAlign w:val="center"/>
          </w:tcPr>
          <w:p w14:paraId="00425EBF">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说  明</w:t>
            </w:r>
          </w:p>
        </w:tc>
      </w:tr>
      <w:tr w14:paraId="5B2BA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718" w:type="dxa"/>
            <w:vAlign w:val="center"/>
          </w:tcPr>
          <w:p w14:paraId="7A9A2819">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501" w:type="dxa"/>
            <w:vAlign w:val="center"/>
          </w:tcPr>
          <w:p w14:paraId="7D5B15DE">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合格投标人</w:t>
            </w:r>
          </w:p>
        </w:tc>
        <w:tc>
          <w:tcPr>
            <w:tcW w:w="6466" w:type="dxa"/>
            <w:vAlign w:val="center"/>
          </w:tcPr>
          <w:p w14:paraId="55D988B5">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详见“</w:t>
            </w:r>
            <w:r>
              <w:rPr>
                <w:rFonts w:hint="eastAsia" w:ascii="仿宋_GB2312" w:hAnsi="仿宋_GB2312" w:eastAsia="仿宋_GB2312" w:cs="仿宋_GB2312"/>
                <w:sz w:val="24"/>
                <w:szCs w:val="24"/>
                <w:highlight w:val="none"/>
                <w:lang w:val="en-US" w:eastAsia="zh-CN"/>
              </w:rPr>
              <w:t>三、</w:t>
            </w:r>
            <w:r>
              <w:rPr>
                <w:rFonts w:hint="eastAsia" w:ascii="仿宋_GB2312" w:hAnsi="仿宋_GB2312" w:eastAsia="仿宋_GB2312" w:cs="仿宋_GB2312"/>
                <w:sz w:val="24"/>
                <w:szCs w:val="24"/>
                <w:highlight w:val="none"/>
              </w:rPr>
              <w:t>响应人资格要求”</w:t>
            </w:r>
          </w:p>
        </w:tc>
      </w:tr>
      <w:tr w14:paraId="65673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718" w:type="dxa"/>
            <w:vAlign w:val="center"/>
          </w:tcPr>
          <w:p w14:paraId="54C90368">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501" w:type="dxa"/>
            <w:vAlign w:val="center"/>
          </w:tcPr>
          <w:p w14:paraId="008E7596">
            <w:pPr>
              <w:spacing w:line="400" w:lineRule="exac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项目名称</w:t>
            </w:r>
          </w:p>
        </w:tc>
        <w:tc>
          <w:tcPr>
            <w:tcW w:w="6466" w:type="dxa"/>
            <w:vAlign w:val="center"/>
          </w:tcPr>
          <w:p w14:paraId="0B404401">
            <w:pPr>
              <w:spacing w:line="400" w:lineRule="exact"/>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color w:val="000000"/>
                <w:sz w:val="24"/>
                <w:szCs w:val="24"/>
                <w:highlight w:val="none"/>
                <w:u w:val="none"/>
                <w:lang w:val="en-US" w:eastAsia="zh-CN"/>
              </w:rPr>
              <w:t>松山湖国际创新创业社区G4栋10楼装修项目监理服务</w:t>
            </w:r>
          </w:p>
        </w:tc>
      </w:tr>
      <w:tr w14:paraId="67695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5" w:hRule="atLeast"/>
        </w:trPr>
        <w:tc>
          <w:tcPr>
            <w:tcW w:w="718" w:type="dxa"/>
            <w:vAlign w:val="center"/>
          </w:tcPr>
          <w:p w14:paraId="59B2AA3A">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1501" w:type="dxa"/>
            <w:vAlign w:val="center"/>
          </w:tcPr>
          <w:p w14:paraId="0D87EB4E">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付款方式</w:t>
            </w:r>
          </w:p>
        </w:tc>
        <w:tc>
          <w:tcPr>
            <w:tcW w:w="6466" w:type="dxa"/>
            <w:vAlign w:val="center"/>
          </w:tcPr>
          <w:p w14:paraId="0C85D157">
            <w:pPr>
              <w:spacing w:line="400" w:lineRule="exac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①施工阶段：按当月应付监理费的80%支付（以当月完成的施工进度款为基数计算），支付至暂定监理费的80%后不再支付；②工程竣工验收合格支付至监理费结算价的95%；③工程缺陷责任期满后支付剩余5%。</w:t>
            </w:r>
          </w:p>
        </w:tc>
      </w:tr>
      <w:tr w14:paraId="73FBD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18" w:type="dxa"/>
            <w:vAlign w:val="center"/>
          </w:tcPr>
          <w:p w14:paraId="06E2DAD2">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1501" w:type="dxa"/>
            <w:vAlign w:val="center"/>
          </w:tcPr>
          <w:p w14:paraId="5858E9FE">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服务期</w:t>
            </w:r>
          </w:p>
        </w:tc>
        <w:tc>
          <w:tcPr>
            <w:tcW w:w="6466" w:type="dxa"/>
            <w:vAlign w:val="center"/>
          </w:tcPr>
          <w:p w14:paraId="04438E73">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1年或项目完成</w:t>
            </w:r>
            <w:r>
              <w:rPr>
                <w:rFonts w:hint="eastAsia" w:ascii="仿宋_GB2312" w:hAnsi="仿宋_GB2312" w:eastAsia="仿宋_GB2312" w:cs="仿宋_GB2312"/>
                <w:sz w:val="24"/>
                <w:szCs w:val="24"/>
                <w:highlight w:val="none"/>
              </w:rPr>
              <w:t>。</w:t>
            </w:r>
          </w:p>
        </w:tc>
      </w:tr>
      <w:tr w14:paraId="791D0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14:paraId="0318ED58">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1501" w:type="dxa"/>
            <w:vAlign w:val="center"/>
          </w:tcPr>
          <w:p w14:paraId="13409B0E">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报价要求</w:t>
            </w:r>
          </w:p>
        </w:tc>
        <w:tc>
          <w:tcPr>
            <w:tcW w:w="6466" w:type="dxa"/>
            <w:vAlign w:val="center"/>
          </w:tcPr>
          <w:p w14:paraId="2F694DE0">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（一）监理服务费按</w:t>
            </w:r>
            <w:r>
              <w:rPr>
                <w:rFonts w:hint="eastAsia" w:ascii="仿宋_GB2312" w:hAnsi="仿宋_GB2312" w:eastAsia="仿宋_GB2312" w:cs="仿宋_GB2312"/>
                <w:b/>
                <w:bCs/>
                <w:sz w:val="24"/>
                <w:szCs w:val="24"/>
                <w:highlight w:val="none"/>
                <w:u w:val="single"/>
                <w:lang w:val="en-US" w:eastAsia="zh-CN"/>
              </w:rPr>
              <w:t>施工</w:t>
            </w:r>
            <w:r>
              <w:rPr>
                <w:rFonts w:hint="eastAsia" w:ascii="仿宋_GB2312" w:hAnsi="仿宋_GB2312" w:eastAsia="仿宋_GB2312" w:cs="仿宋_GB2312"/>
                <w:b/>
                <w:bCs/>
                <w:sz w:val="24"/>
                <w:szCs w:val="24"/>
                <w:highlight w:val="none"/>
                <w:u w:val="single"/>
              </w:rPr>
              <w:t>项目合同价</w:t>
            </w:r>
            <w:r>
              <w:rPr>
                <w:rFonts w:hint="eastAsia" w:ascii="仿宋_GB2312" w:hAnsi="仿宋_GB2312" w:eastAsia="仿宋_GB2312" w:cs="仿宋_GB2312"/>
                <w:sz w:val="24"/>
                <w:szCs w:val="24"/>
                <w:highlight w:val="none"/>
                <w:u w:val="none"/>
              </w:rPr>
              <w:t>作为计算基础</w:t>
            </w:r>
            <w:r>
              <w:rPr>
                <w:rFonts w:hint="eastAsia" w:ascii="仿宋_GB2312" w:hAnsi="仿宋_GB2312" w:eastAsia="仿宋_GB2312" w:cs="仿宋_GB2312"/>
                <w:sz w:val="24"/>
                <w:szCs w:val="24"/>
                <w:highlight w:val="none"/>
              </w:rPr>
              <w:t>，根据《国家发展改革委、建设部关于印发〈建设工程监理与相关服务收费管理规定〉的通知》（发改价格［2007］670号文）及其适用的最新修订规定的收费基价（建安费计费额处于两个数值区间的，采用直线内插法确定施工监理服务收费基价）及中标人报价的监理服务收费系数计算，具体约定及计算方法如下：</w:t>
            </w:r>
          </w:p>
          <w:p w14:paraId="6C3456C0">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1.施工监理服务收费（监理单项项目合同酬金）=施工监理服务收费基准价×监理服务收费系数；</w:t>
            </w:r>
          </w:p>
          <w:p w14:paraId="646AE23D">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2.施工监理服务收费基准价=施工监理服务收费基价×专业调整系数×工程复杂程度调整系数×高程调整系数。各系数按《建设工程监理与相关服务收费标准》规定执行，其中：专业调整系数为 1.0 ，工程复杂程度调整系数为 1.0 ，高程调整系数为 1.0 ；</w:t>
            </w:r>
          </w:p>
          <w:p w14:paraId="25DA96D5">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3.施工监理服务收费（监理单项项目合同酬金）保留至小数点后两位小数，从小数点后第3位四舍五入。</w:t>
            </w:r>
          </w:p>
          <w:p w14:paraId="269B36E1">
            <w:pPr>
              <w:spacing w:line="400" w:lineRule="exact"/>
              <w:ind w:firstLine="48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u w:val="single"/>
              </w:rPr>
              <w:t>（二）本项目监理服务收费系数为投标人自主填报，投标人的投标报价范围0--0.8的值，值不在该范围的视为无效报价处理。</w:t>
            </w:r>
          </w:p>
          <w:p w14:paraId="24A5C167">
            <w:pPr>
              <w:spacing w:line="40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投标报价应包含</w:t>
            </w:r>
            <w:r>
              <w:rPr>
                <w:rFonts w:hint="eastAsia" w:ascii="仿宋_GB2312" w:hAnsi="仿宋_GB2312" w:eastAsia="仿宋_GB2312" w:cs="仿宋_GB2312"/>
                <w:sz w:val="24"/>
                <w:szCs w:val="24"/>
                <w:highlight w:val="none"/>
                <w:lang w:val="en-US" w:eastAsia="zh-CN"/>
              </w:rPr>
              <w:t xml:space="preserve">监理业务范围内全部费用，包括监理人员工资及相关福利、保险、公积金等费用，办公、会议、差旅等费用，固定资产使用及购置费用，技术资料、投标费用，咨询、招待费用，财务、临时设施、税费及其他管理开支等。除合同另有约定，施工监理服务收费在合同执行中不作调整。 </w:t>
            </w:r>
          </w:p>
        </w:tc>
      </w:tr>
      <w:tr w14:paraId="08A16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18" w:type="dxa"/>
            <w:vAlign w:val="center"/>
          </w:tcPr>
          <w:p w14:paraId="12F68E31">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1501" w:type="dxa"/>
            <w:vAlign w:val="center"/>
          </w:tcPr>
          <w:p w14:paraId="56E0920D">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投标有效期</w:t>
            </w:r>
          </w:p>
        </w:tc>
        <w:tc>
          <w:tcPr>
            <w:tcW w:w="6466" w:type="dxa"/>
            <w:vAlign w:val="center"/>
          </w:tcPr>
          <w:p w14:paraId="1479F21D">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自开标之日起90天。</w:t>
            </w:r>
          </w:p>
        </w:tc>
      </w:tr>
      <w:tr w14:paraId="4B070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18" w:type="dxa"/>
            <w:vAlign w:val="center"/>
          </w:tcPr>
          <w:p w14:paraId="6E2B6ADD">
            <w:pPr>
              <w:spacing w:line="40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1501" w:type="dxa"/>
            <w:vAlign w:val="center"/>
          </w:tcPr>
          <w:p w14:paraId="5B10FD74">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合同条款</w:t>
            </w:r>
          </w:p>
        </w:tc>
        <w:tc>
          <w:tcPr>
            <w:tcW w:w="6466" w:type="dxa"/>
            <w:vAlign w:val="center"/>
          </w:tcPr>
          <w:p w14:paraId="4397F5DA">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投标人实质响应合同各条款。</w:t>
            </w:r>
          </w:p>
        </w:tc>
      </w:tr>
    </w:tbl>
    <w:p w14:paraId="199CBAB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sz w:val="24"/>
          <w:szCs w:val="24"/>
          <w:highlight w:val="none"/>
          <w:lang w:val="zh-CN"/>
        </w:rPr>
        <w:t>技术要求：按国家、行业、地方颁布的相应</w:t>
      </w:r>
      <w:r>
        <w:rPr>
          <w:rFonts w:hint="eastAsia" w:ascii="仿宋_GB2312" w:hAnsi="仿宋_GB2312" w:eastAsia="仿宋_GB2312" w:cs="仿宋_GB2312"/>
          <w:strike w:val="0"/>
          <w:dstrike w:val="0"/>
          <w:color w:val="auto"/>
          <w:sz w:val="24"/>
          <w:szCs w:val="24"/>
          <w:highlight w:val="none"/>
          <w:u w:val="none"/>
          <w:shd w:val="clear" w:fill="auto"/>
          <w:lang w:val="zh-CN"/>
        </w:rPr>
        <w:t>的</w:t>
      </w:r>
      <w:r>
        <w:rPr>
          <w:rFonts w:hint="eastAsia" w:ascii="仿宋_GB2312" w:hAnsi="仿宋_GB2312" w:eastAsia="仿宋_GB2312" w:cs="仿宋_GB2312"/>
          <w:sz w:val="24"/>
          <w:szCs w:val="24"/>
          <w:highlight w:val="none"/>
          <w:lang w:val="zh-CN"/>
        </w:rPr>
        <w:t>政策、法规、规范、标准等以及招标人的相关制度</w:t>
      </w:r>
      <w:r>
        <w:rPr>
          <w:rFonts w:hint="eastAsia" w:ascii="仿宋_GB2312" w:hAnsi="仿宋_GB2312" w:eastAsia="仿宋_GB2312" w:cs="仿宋_GB2312"/>
          <w:strike w:val="0"/>
          <w:dstrike w:val="0"/>
          <w:color w:val="auto"/>
          <w:sz w:val="24"/>
          <w:szCs w:val="24"/>
          <w:highlight w:val="none"/>
          <w:u w:val="none"/>
          <w:shd w:val="clear" w:fill="auto"/>
          <w:lang w:val="zh-CN"/>
        </w:rPr>
        <w:t>等</w:t>
      </w:r>
      <w:r>
        <w:rPr>
          <w:rFonts w:hint="eastAsia" w:ascii="仿宋_GB2312" w:hAnsi="仿宋_GB2312" w:eastAsia="仿宋_GB2312" w:cs="仿宋_GB2312"/>
          <w:sz w:val="24"/>
          <w:szCs w:val="24"/>
          <w:highlight w:val="none"/>
          <w:lang w:val="zh-CN"/>
        </w:rPr>
        <w:t>执行，服务期内如上述文件有变更、修订的，则按最新</w:t>
      </w:r>
      <w:r>
        <w:rPr>
          <w:rFonts w:hint="eastAsia" w:ascii="仿宋_GB2312" w:hAnsi="仿宋_GB2312" w:eastAsia="仿宋_GB2312" w:cs="仿宋_GB2312"/>
          <w:strike w:val="0"/>
          <w:dstrike w:val="0"/>
          <w:color w:val="auto"/>
          <w:sz w:val="24"/>
          <w:szCs w:val="24"/>
          <w:highlight w:val="none"/>
          <w:u w:val="none"/>
          <w:shd w:val="clear" w:fill="auto"/>
          <w:lang w:val="zh-CN"/>
        </w:rPr>
        <w:t>的</w:t>
      </w:r>
      <w:r>
        <w:rPr>
          <w:rFonts w:hint="eastAsia" w:ascii="仿宋_GB2312" w:hAnsi="仿宋_GB2312" w:eastAsia="仿宋_GB2312" w:cs="仿宋_GB2312"/>
          <w:sz w:val="24"/>
          <w:szCs w:val="24"/>
          <w:highlight w:val="none"/>
          <w:lang w:val="zh-CN"/>
        </w:rPr>
        <w:t>版本执行。</w:t>
      </w:r>
    </w:p>
    <w:p w14:paraId="7CEAEB4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（二）</w:t>
      </w:r>
      <w:r>
        <w:rPr>
          <w:rFonts w:hint="eastAsia" w:ascii="仿宋_GB2312" w:hAnsi="仿宋_GB2312" w:eastAsia="仿宋_GB2312" w:cs="仿宋_GB2312"/>
          <w:sz w:val="24"/>
          <w:szCs w:val="24"/>
          <w:highlight w:val="none"/>
          <w:lang w:val="zh-CN"/>
        </w:rPr>
        <w:t>人员及驻点要求：投入本项目的监理主要组成人员不得低于</w:t>
      </w:r>
      <w:r>
        <w:rPr>
          <w:rFonts w:hint="eastAsia" w:ascii="仿宋_GB2312" w:hAnsi="仿宋_GB2312" w:eastAsia="仿宋_GB2312" w:cs="仿宋_GB2312"/>
          <w:strike w:val="0"/>
          <w:dstrike w:val="0"/>
          <w:color w:val="auto"/>
          <w:sz w:val="24"/>
          <w:szCs w:val="24"/>
          <w:highlight w:val="none"/>
          <w:u w:val="none"/>
          <w:shd w:val="clear" w:fill="auto"/>
          <w:lang w:val="zh-CN"/>
        </w:rPr>
        <w:t xml:space="preserve"> </w:t>
      </w:r>
      <w:r>
        <w:rPr>
          <w:rFonts w:hint="eastAsia" w:ascii="仿宋_GB2312" w:hAnsi="仿宋_GB2312" w:eastAsia="仿宋_GB2312" w:cs="仿宋_GB2312"/>
          <w:sz w:val="24"/>
          <w:szCs w:val="24"/>
          <w:highlight w:val="none"/>
          <w:lang w:val="zh-CN"/>
        </w:rPr>
        <w:t>“表一：主要监理人员组成基本要求”所列条件，投标人应当提交上述人员相应的证书和与中标单位的社保关系证明。</w:t>
      </w:r>
    </w:p>
    <w:p w14:paraId="2C48965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center"/>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表一：主要监理人员组成基本要求</w:t>
      </w:r>
    </w:p>
    <w:tbl>
      <w:tblPr>
        <w:tblStyle w:val="25"/>
        <w:tblW w:w="48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576"/>
        <w:gridCol w:w="5034"/>
        <w:gridCol w:w="849"/>
      </w:tblGrid>
      <w:tr w14:paraId="7E85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69" w:type="pct"/>
            <w:noWrap w:val="0"/>
            <w:vAlign w:val="center"/>
          </w:tcPr>
          <w:p w14:paraId="66F2DB08">
            <w:pPr>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序号</w:t>
            </w:r>
          </w:p>
        </w:tc>
        <w:tc>
          <w:tcPr>
            <w:tcW w:w="957" w:type="pct"/>
            <w:noWrap w:val="0"/>
            <w:vAlign w:val="center"/>
          </w:tcPr>
          <w:p w14:paraId="64CBEB23">
            <w:pPr>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职务/专业</w:t>
            </w:r>
          </w:p>
        </w:tc>
        <w:tc>
          <w:tcPr>
            <w:tcW w:w="3057" w:type="pct"/>
            <w:noWrap w:val="0"/>
            <w:vAlign w:val="center"/>
          </w:tcPr>
          <w:p w14:paraId="718EA45F">
            <w:pPr>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职称和资格</w:t>
            </w:r>
          </w:p>
        </w:tc>
        <w:tc>
          <w:tcPr>
            <w:tcW w:w="515" w:type="pct"/>
            <w:noWrap w:val="0"/>
            <w:vAlign w:val="center"/>
          </w:tcPr>
          <w:p w14:paraId="7FE3DD92">
            <w:pPr>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人数</w:t>
            </w:r>
          </w:p>
        </w:tc>
      </w:tr>
      <w:tr w14:paraId="4071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9" w:type="pct"/>
            <w:noWrap w:val="0"/>
            <w:vAlign w:val="center"/>
          </w:tcPr>
          <w:p w14:paraId="650E3F6B">
            <w:pPr>
              <w:numPr>
                <w:ilvl w:val="0"/>
                <w:numId w:val="3"/>
              </w:numPr>
              <w:tabs>
                <w:tab w:val="left" w:pos="167"/>
              </w:tabs>
              <w:spacing w:line="360" w:lineRule="auto"/>
              <w:ind w:left="0" w:firstLine="0"/>
              <w:jc w:val="center"/>
              <w:rPr>
                <w:rFonts w:hint="eastAsia" w:ascii="仿宋_GB2312" w:hAnsi="仿宋_GB2312" w:eastAsia="仿宋_GB2312" w:cs="仿宋_GB2312"/>
                <w:color w:val="000000"/>
                <w:szCs w:val="21"/>
                <w:highlight w:val="none"/>
              </w:rPr>
            </w:pPr>
          </w:p>
        </w:tc>
        <w:tc>
          <w:tcPr>
            <w:tcW w:w="957" w:type="pct"/>
            <w:noWrap w:val="0"/>
            <w:vAlign w:val="center"/>
          </w:tcPr>
          <w:p w14:paraId="478E44BB">
            <w:pPr>
              <w:spacing w:line="360" w:lineRule="auto"/>
              <w:jc w:val="center"/>
              <w:rPr>
                <w:rFonts w:hint="eastAsia" w:ascii="仿宋_GB2312" w:hAnsi="仿宋_GB2312" w:eastAsia="仿宋_GB2312" w:cs="仿宋_GB2312"/>
                <w:strike w:val="0"/>
                <w:dstrike w:val="0"/>
                <w:color w:val="auto"/>
                <w:szCs w:val="21"/>
                <w:highlight w:val="none"/>
                <w:u w:val="none"/>
                <w:shd w:val="clear" w:fill="auto"/>
              </w:rPr>
            </w:pPr>
            <w:r>
              <w:rPr>
                <w:rFonts w:hint="eastAsia" w:ascii="仿宋_GB2312" w:hAnsi="仿宋_GB2312" w:eastAsia="仿宋_GB2312" w:cs="仿宋_GB2312"/>
                <w:color w:val="000000"/>
                <w:szCs w:val="21"/>
                <w:highlight w:val="none"/>
              </w:rPr>
              <w:t>项目总监理</w:t>
            </w:r>
          </w:p>
          <w:p w14:paraId="7C3F71A5">
            <w:pPr>
              <w:snapToGrid w:val="0"/>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工程师</w:t>
            </w:r>
          </w:p>
        </w:tc>
        <w:tc>
          <w:tcPr>
            <w:tcW w:w="3057" w:type="pct"/>
            <w:noWrap w:val="0"/>
            <w:vAlign w:val="center"/>
          </w:tcPr>
          <w:p w14:paraId="47F6EAFE">
            <w:pPr>
              <w:spacing w:line="360" w:lineRule="auto"/>
              <w:rPr>
                <w:rFonts w:hint="eastAsia" w:ascii="仿宋_GB2312" w:hAnsi="仿宋_GB2312" w:eastAsia="仿宋_GB2312" w:cs="仿宋_GB2312"/>
                <w:bCs/>
                <w:strike w:val="0"/>
                <w:dstrike w:val="0"/>
                <w:color w:val="auto"/>
                <w:szCs w:val="21"/>
                <w:highlight w:val="none"/>
                <w:u w:val="none"/>
                <w:shd w:val="clear" w:fill="auto"/>
              </w:rPr>
            </w:pPr>
            <w:r>
              <w:rPr>
                <w:rFonts w:hint="eastAsia" w:ascii="仿宋_GB2312" w:hAnsi="仿宋_GB2312" w:eastAsia="仿宋_GB2312" w:cs="仿宋_GB2312"/>
                <w:bCs/>
                <w:color w:val="000000"/>
                <w:szCs w:val="21"/>
                <w:highlight w:val="none"/>
              </w:rPr>
              <w:t>①</w:t>
            </w:r>
            <w:r>
              <w:rPr>
                <w:rFonts w:hint="eastAsia" w:ascii="仿宋_GB2312" w:hAnsi="仿宋_GB2312" w:eastAsia="仿宋_GB2312" w:cs="仿宋_GB2312"/>
                <w:color w:val="000000"/>
                <w:szCs w:val="21"/>
                <w:highlight w:val="none"/>
              </w:rPr>
              <w:t>注册监理工程师（</w:t>
            </w:r>
            <w:r>
              <w:rPr>
                <w:rFonts w:hint="eastAsia" w:ascii="仿宋_GB2312" w:hAnsi="仿宋_GB2312" w:eastAsia="仿宋_GB2312" w:cs="仿宋_GB2312"/>
                <w:bCs/>
                <w:color w:val="000000"/>
                <w:szCs w:val="21"/>
                <w:highlight w:val="none"/>
              </w:rPr>
              <w:t>住房和城乡建设部核发），专业为市政公用工程，注册执业单位为投标人本单位；</w:t>
            </w:r>
          </w:p>
          <w:p w14:paraId="4BC4CE36">
            <w:pPr>
              <w:snapToGrid w:val="0"/>
              <w:spacing w:line="360" w:lineRule="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bCs/>
                <w:color w:val="000000"/>
                <w:szCs w:val="21"/>
                <w:highlight w:val="none"/>
              </w:rPr>
              <w:fldChar w:fldCharType="begin"/>
            </w:r>
            <w:r>
              <w:rPr>
                <w:rFonts w:hint="eastAsia" w:ascii="仿宋_GB2312" w:hAnsi="仿宋_GB2312" w:eastAsia="仿宋_GB2312" w:cs="仿宋_GB2312"/>
                <w:bCs/>
                <w:color w:val="000000"/>
                <w:szCs w:val="21"/>
                <w:highlight w:val="none"/>
              </w:rPr>
              <w:instrText xml:space="preserve"> = 2 \* GB3 </w:instrText>
            </w:r>
            <w:r>
              <w:rPr>
                <w:rFonts w:hint="eastAsia" w:ascii="仿宋_GB2312" w:hAnsi="仿宋_GB2312" w:eastAsia="仿宋_GB2312" w:cs="仿宋_GB2312"/>
                <w:bCs/>
                <w:color w:val="000000"/>
                <w:szCs w:val="21"/>
                <w:highlight w:val="none"/>
              </w:rPr>
              <w:fldChar w:fldCharType="separate"/>
            </w:r>
            <w:r>
              <w:rPr>
                <w:rFonts w:hint="eastAsia" w:ascii="仿宋_GB2312" w:hAnsi="仿宋_GB2312" w:eastAsia="仿宋_GB2312" w:cs="仿宋_GB2312"/>
                <w:bCs/>
                <w:color w:val="000000"/>
                <w:szCs w:val="21"/>
                <w:highlight w:val="none"/>
              </w:rPr>
              <w:t>②</w:t>
            </w:r>
            <w:r>
              <w:rPr>
                <w:rFonts w:hint="eastAsia" w:ascii="仿宋_GB2312" w:hAnsi="仿宋_GB2312" w:eastAsia="仿宋_GB2312" w:cs="仿宋_GB2312"/>
                <w:bCs/>
                <w:color w:val="000000"/>
                <w:szCs w:val="21"/>
                <w:highlight w:val="none"/>
              </w:rPr>
              <w:fldChar w:fldCharType="end"/>
            </w:r>
            <w:r>
              <w:rPr>
                <w:rFonts w:hint="eastAsia" w:ascii="仿宋_GB2312" w:hAnsi="仿宋_GB2312" w:eastAsia="仿宋_GB2312" w:cs="仿宋_GB2312"/>
                <w:bCs/>
                <w:color w:val="000000"/>
                <w:szCs w:val="21"/>
                <w:highlight w:val="none"/>
              </w:rPr>
              <w:t>具有拟投入本项目总监理工程师的任命书。</w:t>
            </w:r>
          </w:p>
        </w:tc>
        <w:tc>
          <w:tcPr>
            <w:tcW w:w="515" w:type="pct"/>
            <w:noWrap w:val="0"/>
            <w:vAlign w:val="center"/>
          </w:tcPr>
          <w:p w14:paraId="7E9466F8">
            <w:pPr>
              <w:snapToGrid w:val="0"/>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1</w:t>
            </w:r>
          </w:p>
        </w:tc>
      </w:tr>
      <w:tr w14:paraId="21B9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69" w:type="pct"/>
            <w:noWrap w:val="0"/>
            <w:vAlign w:val="center"/>
          </w:tcPr>
          <w:p w14:paraId="4D7A34D0">
            <w:pPr>
              <w:numPr>
                <w:ilvl w:val="0"/>
                <w:numId w:val="3"/>
              </w:numPr>
              <w:tabs>
                <w:tab w:val="left" w:pos="167"/>
              </w:tabs>
              <w:spacing w:line="360" w:lineRule="auto"/>
              <w:ind w:left="0" w:firstLine="0"/>
              <w:jc w:val="center"/>
              <w:rPr>
                <w:rFonts w:hint="eastAsia" w:ascii="仿宋_GB2312" w:hAnsi="仿宋_GB2312" w:eastAsia="仿宋_GB2312" w:cs="仿宋_GB2312"/>
                <w:color w:val="000000"/>
                <w:szCs w:val="21"/>
                <w:highlight w:val="none"/>
              </w:rPr>
            </w:pPr>
          </w:p>
        </w:tc>
        <w:tc>
          <w:tcPr>
            <w:tcW w:w="957" w:type="pct"/>
            <w:noWrap w:val="0"/>
            <w:vAlign w:val="center"/>
          </w:tcPr>
          <w:p w14:paraId="21C48077">
            <w:pPr>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房屋建筑专业监理工程师</w:t>
            </w:r>
          </w:p>
        </w:tc>
        <w:tc>
          <w:tcPr>
            <w:tcW w:w="3057" w:type="pct"/>
            <w:noWrap w:val="0"/>
            <w:vAlign w:val="center"/>
          </w:tcPr>
          <w:p w14:paraId="5499E1FE">
            <w:pPr>
              <w:spacing w:line="360" w:lineRule="auto"/>
              <w:rPr>
                <w:rFonts w:hint="eastAsia" w:ascii="仿宋_GB2312" w:hAnsi="仿宋_GB2312" w:eastAsia="仿宋_GB2312" w:cs="仿宋_GB2312"/>
                <w:strike w:val="0"/>
                <w:dstrike w:val="0"/>
                <w:color w:val="auto"/>
                <w:szCs w:val="21"/>
                <w:highlight w:val="none"/>
                <w:u w:val="none"/>
                <w:shd w:val="clear" w:fill="auto"/>
              </w:rPr>
            </w:pPr>
            <w:r>
              <w:rPr>
                <w:rFonts w:hint="eastAsia" w:ascii="仿宋_GB2312" w:hAnsi="仿宋_GB2312" w:eastAsia="仿宋_GB2312" w:cs="仿宋_GB2312"/>
                <w:color w:val="000000"/>
                <w:szCs w:val="21"/>
                <w:highlight w:val="none"/>
              </w:rPr>
              <w:t>①注册监理工程师（住房和城乡建设部核发）、注册专业为房屋建筑工程，或持有专业监理工程师上岗证</w:t>
            </w:r>
            <w:r>
              <w:rPr>
                <w:rFonts w:hint="eastAsia" w:ascii="仿宋_GB2312" w:hAnsi="仿宋_GB2312" w:eastAsia="仿宋_GB2312" w:cs="仿宋_GB2312"/>
                <w:strike w:val="0"/>
                <w:dstrike w:val="0"/>
                <w:color w:val="auto"/>
                <w:szCs w:val="21"/>
                <w:highlight w:val="none"/>
                <w:u w:val="none"/>
                <w:shd w:val="clear" w:fill="auto"/>
              </w:rPr>
              <w:t>、</w:t>
            </w:r>
            <w:r>
              <w:rPr>
                <w:rFonts w:hint="eastAsia" w:ascii="仿宋_GB2312" w:hAnsi="仿宋_GB2312" w:eastAsia="仿宋_GB2312" w:cs="仿宋_GB2312"/>
                <w:color w:val="000000"/>
                <w:szCs w:val="21"/>
                <w:highlight w:val="none"/>
              </w:rPr>
              <w:t>上岗证专业为房屋建筑工程；</w:t>
            </w:r>
          </w:p>
          <w:p w14:paraId="7D7D0968">
            <w:pPr>
              <w:spacing w:line="360" w:lineRule="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②工程类专业大专（或以上）学历。</w:t>
            </w:r>
          </w:p>
        </w:tc>
        <w:tc>
          <w:tcPr>
            <w:tcW w:w="515" w:type="pct"/>
            <w:noWrap w:val="0"/>
            <w:vAlign w:val="center"/>
          </w:tcPr>
          <w:p w14:paraId="2C351073">
            <w:pPr>
              <w:snapToGrid w:val="0"/>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1</w:t>
            </w:r>
          </w:p>
        </w:tc>
      </w:tr>
      <w:tr w14:paraId="2FDF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69" w:type="pct"/>
            <w:noWrap w:val="0"/>
            <w:vAlign w:val="center"/>
          </w:tcPr>
          <w:p w14:paraId="0FA1F08E">
            <w:pPr>
              <w:numPr>
                <w:ilvl w:val="0"/>
                <w:numId w:val="3"/>
              </w:numPr>
              <w:tabs>
                <w:tab w:val="left" w:pos="167"/>
              </w:tabs>
              <w:spacing w:line="360" w:lineRule="auto"/>
              <w:ind w:left="0" w:firstLine="0"/>
              <w:jc w:val="center"/>
              <w:rPr>
                <w:rFonts w:hint="eastAsia" w:ascii="仿宋_GB2312" w:hAnsi="仿宋_GB2312" w:eastAsia="仿宋_GB2312" w:cs="仿宋_GB2312"/>
                <w:color w:val="000000"/>
                <w:szCs w:val="21"/>
                <w:highlight w:val="none"/>
              </w:rPr>
            </w:pPr>
          </w:p>
        </w:tc>
        <w:tc>
          <w:tcPr>
            <w:tcW w:w="957" w:type="pct"/>
            <w:noWrap w:val="0"/>
            <w:vAlign w:val="center"/>
          </w:tcPr>
          <w:p w14:paraId="50A4B8F7">
            <w:pPr>
              <w:snapToGrid w:val="0"/>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监理员</w:t>
            </w:r>
          </w:p>
        </w:tc>
        <w:tc>
          <w:tcPr>
            <w:tcW w:w="3057" w:type="pct"/>
            <w:noWrap w:val="0"/>
            <w:vAlign w:val="center"/>
          </w:tcPr>
          <w:p w14:paraId="2708D169">
            <w:pPr>
              <w:snapToGrid w:val="0"/>
              <w:spacing w:line="360" w:lineRule="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①持有专业监理工程师上岗证或持有监理员上岗证；</w:t>
            </w:r>
          </w:p>
        </w:tc>
        <w:tc>
          <w:tcPr>
            <w:tcW w:w="515" w:type="pct"/>
            <w:noWrap w:val="0"/>
            <w:vAlign w:val="center"/>
          </w:tcPr>
          <w:p w14:paraId="56D7D764">
            <w:pPr>
              <w:snapToGrid w:val="0"/>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1</w:t>
            </w:r>
          </w:p>
        </w:tc>
      </w:tr>
      <w:tr w14:paraId="508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69" w:type="pct"/>
            <w:noWrap w:val="0"/>
            <w:vAlign w:val="center"/>
          </w:tcPr>
          <w:p w14:paraId="52A4526C">
            <w:pPr>
              <w:numPr>
                <w:ilvl w:val="0"/>
                <w:numId w:val="3"/>
              </w:numPr>
              <w:tabs>
                <w:tab w:val="left" w:pos="-88"/>
              </w:tabs>
              <w:spacing w:line="360" w:lineRule="auto"/>
              <w:ind w:left="0" w:firstLine="0"/>
              <w:jc w:val="center"/>
              <w:rPr>
                <w:rFonts w:hint="eastAsia" w:ascii="仿宋_GB2312" w:hAnsi="仿宋_GB2312" w:eastAsia="仿宋_GB2312" w:cs="仿宋_GB2312"/>
                <w:color w:val="000000"/>
                <w:szCs w:val="21"/>
                <w:highlight w:val="none"/>
              </w:rPr>
            </w:pPr>
          </w:p>
        </w:tc>
        <w:tc>
          <w:tcPr>
            <w:tcW w:w="957" w:type="pct"/>
            <w:noWrap w:val="0"/>
            <w:vAlign w:val="center"/>
          </w:tcPr>
          <w:p w14:paraId="7F7D5423">
            <w:pPr>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合计</w:t>
            </w:r>
          </w:p>
        </w:tc>
        <w:tc>
          <w:tcPr>
            <w:tcW w:w="3057" w:type="pct"/>
            <w:noWrap w:val="0"/>
            <w:vAlign w:val="center"/>
          </w:tcPr>
          <w:p w14:paraId="045BA48E">
            <w:pPr>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w:t>
            </w:r>
          </w:p>
        </w:tc>
        <w:tc>
          <w:tcPr>
            <w:tcW w:w="515" w:type="pct"/>
            <w:noWrap w:val="0"/>
            <w:vAlign w:val="center"/>
          </w:tcPr>
          <w:p w14:paraId="158B5E60">
            <w:pPr>
              <w:spacing w:line="360" w:lineRule="auto"/>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3</w:t>
            </w:r>
          </w:p>
        </w:tc>
      </w:tr>
    </w:tbl>
    <w:p w14:paraId="1307362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三</w:t>
      </w:r>
      <w:r>
        <w:rPr>
          <w:rFonts w:hint="eastAsia" w:ascii="仿宋_GB2312" w:hAnsi="仿宋_GB2312" w:eastAsia="仿宋_GB2312" w:cs="仿宋_GB2312"/>
          <w:sz w:val="24"/>
          <w:szCs w:val="24"/>
          <w:highlight w:val="none"/>
          <w:lang w:val="zh-CN"/>
        </w:rPr>
        <w:t>）服务内容及要求：监理服务内容包括施工准备阶段、施工阶段、验收与结算阶段、监理责任服务期等阶段的与监理</w:t>
      </w:r>
      <w:r>
        <w:rPr>
          <w:rFonts w:hint="eastAsia" w:ascii="仿宋_GB2312" w:hAnsi="仿宋_GB2312" w:eastAsia="仿宋_GB2312" w:cs="仿宋_GB2312"/>
          <w:strike w:val="0"/>
          <w:dstrike w:val="0"/>
          <w:color w:val="auto"/>
          <w:sz w:val="24"/>
          <w:szCs w:val="24"/>
          <w:highlight w:val="none"/>
          <w:u w:val="none"/>
          <w:shd w:val="clear" w:fill="auto"/>
          <w:lang w:val="zh-CN"/>
        </w:rPr>
        <w:t>的</w:t>
      </w:r>
      <w:r>
        <w:rPr>
          <w:rFonts w:hint="eastAsia" w:ascii="仿宋_GB2312" w:hAnsi="仿宋_GB2312" w:eastAsia="仿宋_GB2312" w:cs="仿宋_GB2312"/>
          <w:sz w:val="24"/>
          <w:szCs w:val="24"/>
          <w:highlight w:val="none"/>
          <w:lang w:val="zh-CN"/>
        </w:rPr>
        <w:t>相关服务，具体包括但不限于以下内容：</w:t>
      </w:r>
    </w:p>
    <w:p w14:paraId="4477017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1）施工准备阶段：协助招标人核查方案并监督实施和进行相应的控制，参与验收成果；协助招标人对各设计单位进行协调管理，监督设计单位合同履行，审查设计进度计划并监督实施，核查设计大纲和设计深度、使用技术规范合理性，提出设计评估报告（包括各阶段设计的核查意见和优化建议），协助审核设计概算。</w:t>
      </w:r>
    </w:p>
    <w:p w14:paraId="2570E01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2）施工阶段：</w:t>
      </w:r>
    </w:p>
    <w:p w14:paraId="7E29F9C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 xml:space="preserve">①施工过程中要与施工单位测量人员同步测量复核，施工单位边放线监理测量员边复核，不漏过任何一个点、线、面，同时形成记录供采购人审查；纠正施工单位的测量错漏，并促其完善和落实保护措施，妥善保管至工程竣工验收。 </w:t>
      </w:r>
    </w:p>
    <w:p w14:paraId="5AD597E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②审查施工单位报送的工程施工技术方案、有限空间作业资料（如有）等工程资料，并跟进修改完善。对影响安全、质量、投资进度目标的主要因素进行分析研讨，提出相应的预控措施。</w:t>
      </w:r>
    </w:p>
    <w:p w14:paraId="187C2AC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③制定实施监理规划、监理实施细则，重点审核、检查、落实实施进度计划和技术方案。周密制定对承包单位的质量控制措施、进度控制措施及安全文明控制措施等，根据项目进展需要</w:t>
      </w:r>
      <w:r>
        <w:rPr>
          <w:rFonts w:hint="eastAsia" w:ascii="仿宋_GB2312" w:hAnsi="仿宋_GB2312" w:eastAsia="仿宋_GB2312" w:cs="仿宋_GB2312"/>
          <w:strike w:val="0"/>
          <w:dstrike w:val="0"/>
          <w:color w:val="auto"/>
          <w:sz w:val="24"/>
          <w:szCs w:val="24"/>
          <w:highlight w:val="none"/>
          <w:u w:val="none"/>
          <w:shd w:val="clear" w:fill="auto"/>
          <w:lang w:val="zh-CN"/>
        </w:rPr>
        <w:t>而</w:t>
      </w:r>
      <w:r>
        <w:rPr>
          <w:rFonts w:hint="eastAsia" w:ascii="仿宋_GB2312" w:hAnsi="仿宋_GB2312" w:eastAsia="仿宋_GB2312" w:cs="仿宋_GB2312"/>
          <w:sz w:val="24"/>
          <w:szCs w:val="24"/>
          <w:highlight w:val="none"/>
          <w:lang w:val="zh-CN"/>
        </w:rPr>
        <w:t>更新，</w:t>
      </w:r>
      <w:r>
        <w:rPr>
          <w:rFonts w:hint="eastAsia" w:ascii="仿宋_GB2312" w:hAnsi="仿宋_GB2312" w:eastAsia="仿宋_GB2312" w:cs="仿宋_GB2312"/>
          <w:strike w:val="0"/>
          <w:dstrike w:val="0"/>
          <w:color w:val="auto"/>
          <w:sz w:val="24"/>
          <w:szCs w:val="24"/>
          <w:highlight w:val="none"/>
          <w:u w:val="none"/>
          <w:shd w:val="clear" w:fill="auto"/>
          <w:lang w:val="zh-CN"/>
        </w:rPr>
        <w:t>及</w:t>
      </w:r>
      <w:r>
        <w:rPr>
          <w:rFonts w:hint="eastAsia" w:ascii="仿宋_GB2312" w:hAnsi="仿宋_GB2312" w:eastAsia="仿宋_GB2312" w:cs="仿宋_GB2312"/>
          <w:sz w:val="24"/>
          <w:szCs w:val="24"/>
          <w:highlight w:val="none"/>
          <w:lang w:val="zh-CN"/>
        </w:rPr>
        <w:t>获得采购人认可</w:t>
      </w:r>
      <w:r>
        <w:rPr>
          <w:rFonts w:hint="eastAsia" w:ascii="仿宋_GB2312" w:hAnsi="仿宋_GB2312" w:eastAsia="仿宋_GB2312" w:cs="仿宋_GB2312"/>
          <w:strike w:val="0"/>
          <w:dstrike w:val="0"/>
          <w:color w:val="auto"/>
          <w:sz w:val="24"/>
          <w:szCs w:val="24"/>
          <w:highlight w:val="none"/>
          <w:u w:val="none"/>
          <w:shd w:val="clear" w:fill="auto"/>
          <w:lang w:val="zh-CN"/>
        </w:rPr>
        <w:t>，</w:t>
      </w:r>
      <w:r>
        <w:rPr>
          <w:rFonts w:hint="eastAsia" w:ascii="仿宋_GB2312" w:hAnsi="仿宋_GB2312" w:eastAsia="仿宋_GB2312" w:cs="仿宋_GB2312"/>
          <w:sz w:val="24"/>
          <w:szCs w:val="24"/>
          <w:highlight w:val="none"/>
          <w:lang w:val="zh-CN"/>
        </w:rPr>
        <w:t>严格执行。</w:t>
      </w:r>
    </w:p>
    <w:p w14:paraId="0580365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④对施工单位投入项目的人员进行实名制管理，做好现场作业人员的花名册及人员使用记录、留痕的检查工作。</w:t>
      </w:r>
    </w:p>
    <w:p w14:paraId="1714E96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⑤原材料、成品、半成品的见证取样、平行检测。对关键工序、隐蔽工程、有限空间作业的施工过程必须进行旁站，认真检查，及时签证，跟进整改。对不符合工程质量要求的工程量，不</w:t>
      </w:r>
      <w:r>
        <w:rPr>
          <w:rFonts w:hint="eastAsia" w:ascii="仿宋_GB2312" w:hAnsi="仿宋_GB2312" w:eastAsia="仿宋_GB2312" w:cs="仿宋_GB2312"/>
          <w:strike w:val="0"/>
          <w:dstrike w:val="0"/>
          <w:color w:val="auto"/>
          <w:sz w:val="24"/>
          <w:szCs w:val="24"/>
          <w:highlight w:val="none"/>
          <w:u w:val="none"/>
          <w:shd w:val="clear" w:fill="auto"/>
          <w:lang w:val="zh-CN"/>
        </w:rPr>
        <w:t>可给</w:t>
      </w:r>
      <w:r>
        <w:rPr>
          <w:rFonts w:hint="eastAsia" w:ascii="仿宋_GB2312" w:hAnsi="仿宋_GB2312" w:eastAsia="仿宋_GB2312" w:cs="仿宋_GB2312"/>
          <w:sz w:val="24"/>
          <w:szCs w:val="24"/>
          <w:highlight w:val="none"/>
          <w:lang w:val="zh-CN"/>
        </w:rPr>
        <w:t>予签认</w:t>
      </w:r>
      <w:r>
        <w:rPr>
          <w:rFonts w:hint="eastAsia" w:ascii="仿宋_GB2312" w:hAnsi="仿宋_GB2312" w:eastAsia="仿宋_GB2312" w:cs="仿宋_GB2312"/>
          <w:strike w:val="0"/>
          <w:dstrike w:val="0"/>
          <w:color w:val="auto"/>
          <w:sz w:val="24"/>
          <w:szCs w:val="24"/>
          <w:highlight w:val="none"/>
          <w:u w:val="none"/>
          <w:shd w:val="clear" w:fill="auto"/>
          <w:lang w:val="zh-CN"/>
        </w:rPr>
        <w:t>，</w:t>
      </w:r>
      <w:r>
        <w:rPr>
          <w:rFonts w:hint="eastAsia" w:ascii="仿宋_GB2312" w:hAnsi="仿宋_GB2312" w:eastAsia="仿宋_GB2312" w:cs="仿宋_GB2312"/>
          <w:sz w:val="24"/>
          <w:szCs w:val="24"/>
          <w:highlight w:val="none"/>
          <w:lang w:val="zh-CN"/>
        </w:rPr>
        <w:t>符合质量要求的工程量应按工程合约的规定，进行实地检查及审核，以满足测量顾问要求；跟进施工现场签证。</w:t>
      </w:r>
    </w:p>
    <w:p w14:paraId="321282C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⑥按采购人要求，协助采购人处理费用索赔及调解合同争议、处理工程变更、工程停工/复工、工程延期/延误、工程合同解除等事宜。</w:t>
      </w:r>
    </w:p>
    <w:p w14:paraId="3B7CAB2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 xml:space="preserve">⑦主持召开工程变更会议，根据施工合同等规定的范围和内容，确定申报变更内容是否属于变更范围，并编制、出具会议纪要。 </w:t>
      </w:r>
    </w:p>
    <w:p w14:paraId="7B4F5F0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 xml:space="preserve">⑧主持召开工地例会、协调会，检查例会布置的工作落实情况，及时协调解决施工中存在的问题，并编制、出具会议纪要。 </w:t>
      </w:r>
    </w:p>
    <w:p w14:paraId="34BCE0D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⑨做好监理日记、记录，完整真实地反映监理活动及项目实施情况。</w:t>
      </w:r>
    </w:p>
    <w:p w14:paraId="1C45E4F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3）验收与结算阶段：按照施工合同及相关规定督促并审查施工单位提交的验收申请报告及验收资料，组织工程“初验”，审查工程结算资料，参加工程竣工验收和结算，并加具监理意见，督促施工单位及时整理工程竣工文件及结算资料。</w:t>
      </w:r>
    </w:p>
    <w:p w14:paraId="3123CCC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4）监理责任服务期阶段：检查和记录工程质量缺陷，对缺陷原因进行调查分析并确定责任归属，审核修复方案，监督修复过程并验收，审核修复费用。</w:t>
      </w:r>
    </w:p>
    <w:p w14:paraId="6438C143">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b/>
          <w:bCs/>
          <w:color w:val="000000"/>
          <w:sz w:val="24"/>
          <w:szCs w:val="24"/>
          <w:highlight w:val="none"/>
        </w:rPr>
        <w:t>五、</w:t>
      </w:r>
      <w:r>
        <w:rPr>
          <w:rFonts w:hint="eastAsia" w:ascii="仿宋_GB2312" w:hAnsi="仿宋_GB2312" w:eastAsia="仿宋_GB2312" w:cs="仿宋_GB2312"/>
          <w:b/>
          <w:bCs/>
          <w:color w:val="000000"/>
          <w:sz w:val="24"/>
          <w:szCs w:val="24"/>
          <w:highlight w:val="none"/>
          <w:lang w:val="en-US" w:eastAsia="zh-CN"/>
        </w:rPr>
        <w:t>服务</w:t>
      </w:r>
      <w:r>
        <w:rPr>
          <w:rFonts w:hint="eastAsia" w:ascii="仿宋_GB2312" w:hAnsi="仿宋_GB2312" w:eastAsia="仿宋_GB2312" w:cs="仿宋_GB2312"/>
          <w:b/>
          <w:bCs/>
          <w:color w:val="000000"/>
          <w:sz w:val="24"/>
          <w:szCs w:val="24"/>
          <w:highlight w:val="none"/>
        </w:rPr>
        <w:t>时间</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sz w:val="24"/>
          <w:szCs w:val="24"/>
          <w:highlight w:val="none"/>
          <w:u w:val="single"/>
          <w:lang w:val="en-US" w:eastAsia="zh-CN"/>
        </w:rPr>
        <w:t>1年或项目完成</w:t>
      </w:r>
      <w:r>
        <w:rPr>
          <w:rFonts w:hint="eastAsia" w:ascii="仿宋_GB2312" w:hAnsi="仿宋_GB2312" w:eastAsia="仿宋_GB2312" w:cs="仿宋_GB2312"/>
          <w:color w:val="000000"/>
          <w:sz w:val="24"/>
          <w:szCs w:val="24"/>
          <w:highlight w:val="none"/>
          <w:u w:val="single"/>
        </w:rPr>
        <w:t>。</w:t>
      </w:r>
    </w:p>
    <w:p w14:paraId="07319C62">
      <w:pPr>
        <w:adjustRightInd w:val="0"/>
        <w:snapToGrid w:val="0"/>
        <w:spacing w:line="600" w:lineRule="exact"/>
        <w:ind w:firstLine="482" w:firstLineChars="200"/>
        <w:outlineLvl w:val="1"/>
        <w:rPr>
          <w:rFonts w:hint="default"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bCs/>
          <w:color w:val="000000"/>
          <w:sz w:val="24"/>
          <w:szCs w:val="24"/>
          <w:highlight w:val="none"/>
        </w:rPr>
        <w:t>六、支付方式</w:t>
      </w:r>
    </w:p>
    <w:p w14:paraId="2202D99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（一）施工阶段：按当月应付监理费的80%支付（以当月完成的施工进度款为基数计算），支付至暂定监理费的80%后不再支付；</w:t>
      </w:r>
    </w:p>
    <w:p w14:paraId="1667C81C">
      <w:pPr>
        <w:keepNext w:val="0"/>
        <w:keepLines w:val="0"/>
        <w:pageBreakBefore w:val="0"/>
        <w:widowControl w:val="0"/>
        <w:kinsoku/>
        <w:wordWrap/>
        <w:overflowPunct/>
        <w:topLinePunct w:val="0"/>
        <w:autoSpaceDE w:val="0"/>
        <w:autoSpaceDN w:val="0"/>
        <w:bidi w:val="0"/>
        <w:adjustRightInd w:val="0"/>
        <w:snapToGrid/>
        <w:spacing w:line="360" w:lineRule="auto"/>
        <w:ind w:left="479" w:leftChars="228"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（二）工程竣工验收合格后支付至监理费结算价的95%；</w:t>
      </w:r>
    </w:p>
    <w:p w14:paraId="09A72461">
      <w:pPr>
        <w:keepNext w:val="0"/>
        <w:keepLines w:val="0"/>
        <w:pageBreakBefore w:val="0"/>
        <w:widowControl w:val="0"/>
        <w:kinsoku/>
        <w:wordWrap/>
        <w:overflowPunct/>
        <w:topLinePunct w:val="0"/>
        <w:autoSpaceDE w:val="0"/>
        <w:autoSpaceDN w:val="0"/>
        <w:bidi w:val="0"/>
        <w:adjustRightInd w:val="0"/>
        <w:snapToGrid/>
        <w:spacing w:line="360" w:lineRule="auto"/>
        <w:ind w:left="479" w:leftChars="228" w:firstLine="0" w:firstLine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（三）工程缺陷责任期满后支付剩余5%</w:t>
      </w:r>
      <w:r>
        <w:rPr>
          <w:rFonts w:hint="eastAsia" w:ascii="仿宋_GB2312" w:hAnsi="仿宋_GB2312" w:eastAsia="仿宋_GB2312" w:cs="仿宋_GB2312"/>
          <w:kern w:val="2"/>
          <w:sz w:val="24"/>
          <w:szCs w:val="24"/>
          <w:highlight w:val="none"/>
          <w:lang w:val="en-US" w:eastAsia="zh-CN" w:bidi="ar-SA"/>
        </w:rPr>
        <w:t>。</w:t>
      </w:r>
    </w:p>
    <w:p w14:paraId="6A33FFED">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lang w:val="en-US" w:eastAsia="zh-CN"/>
        </w:rPr>
        <w:t>七</w:t>
      </w:r>
      <w:r>
        <w:rPr>
          <w:rFonts w:hint="eastAsia" w:ascii="仿宋_GB2312" w:hAnsi="仿宋_GB2312" w:eastAsia="仿宋_GB2312" w:cs="仿宋_GB2312"/>
          <w:b/>
          <w:bCs/>
          <w:color w:val="000000"/>
          <w:sz w:val="24"/>
          <w:szCs w:val="24"/>
          <w:highlight w:val="none"/>
        </w:rPr>
        <w:t>、定标</w:t>
      </w:r>
    </w:p>
    <w:p w14:paraId="51D93E2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kern w:val="2"/>
          <w:sz w:val="24"/>
          <w:szCs w:val="24"/>
          <w:highlight w:val="none"/>
          <w:u w:val="single"/>
          <w:lang w:val="en-US" w:eastAsia="zh-CN" w:bidi="ar-SA"/>
        </w:rPr>
      </w:pPr>
      <w:r>
        <w:rPr>
          <w:rFonts w:hint="eastAsia" w:ascii="仿宋_GB2312" w:hAnsi="仿宋_GB2312" w:eastAsia="仿宋_GB2312" w:cs="仿宋_GB2312"/>
          <w:kern w:val="2"/>
          <w:sz w:val="24"/>
          <w:szCs w:val="24"/>
          <w:highlight w:val="none"/>
          <w:u w:val="single"/>
          <w:lang w:val="en-US" w:eastAsia="zh-CN" w:bidi="ar-SA"/>
        </w:rPr>
        <w:t>本次项目采用询价方式进行采购，询价小组对各供应商响应文件进行审核，并根据质量和服务均能满足采购文件实质性响应要求且报价最低的原则，推荐成交候选供应商。</w:t>
      </w:r>
    </w:p>
    <w:p w14:paraId="47A572A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hAnsi="仿宋_GB2312" w:eastAsia="仿宋_GB2312" w:cs="仿宋_GB2312"/>
          <w:kern w:val="2"/>
          <w:sz w:val="24"/>
          <w:szCs w:val="24"/>
          <w:highlight w:val="none"/>
          <w:u w:val="single"/>
          <w:lang w:val="en-US" w:eastAsia="zh-CN" w:bidi="ar-SA"/>
        </w:rPr>
      </w:pPr>
      <w:r>
        <w:rPr>
          <w:rFonts w:hint="eastAsia" w:ascii="仿宋_GB2312" w:hAnsi="仿宋_GB2312" w:eastAsia="仿宋_GB2312" w:cs="仿宋_GB2312"/>
          <w:kern w:val="2"/>
          <w:sz w:val="24"/>
          <w:szCs w:val="24"/>
          <w:highlight w:val="none"/>
          <w:u w:val="single"/>
          <w:lang w:val="en-US" w:eastAsia="zh-CN" w:bidi="ar-SA"/>
        </w:rPr>
        <w:t>询价结束后，招标采购工作小组将相关询价情况按程序审批并确定成交人。</w:t>
      </w:r>
    </w:p>
    <w:p w14:paraId="10FE61FE">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lang w:val="en-US" w:eastAsia="zh-CN"/>
        </w:rPr>
        <w:t>八</w:t>
      </w:r>
      <w:r>
        <w:rPr>
          <w:rFonts w:hint="eastAsia" w:ascii="仿宋_GB2312" w:hAnsi="仿宋_GB2312" w:eastAsia="仿宋_GB2312" w:cs="仿宋_GB2312"/>
          <w:b/>
          <w:bCs/>
          <w:color w:val="000000"/>
          <w:sz w:val="24"/>
          <w:szCs w:val="24"/>
          <w:highlight w:val="none"/>
        </w:rPr>
        <w:t>、采取的合同文本</w:t>
      </w:r>
    </w:p>
    <w:p w14:paraId="5B531CD9">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合同签订的依据为</w:t>
      </w:r>
      <w:r>
        <w:rPr>
          <w:rFonts w:hint="eastAsia" w:ascii="仿宋_GB2312" w:hAnsi="仿宋_GB2312" w:eastAsia="仿宋_GB2312" w:cs="仿宋_GB2312"/>
          <w:color w:val="000000"/>
          <w:sz w:val="24"/>
          <w:szCs w:val="24"/>
          <w:highlight w:val="none"/>
          <w:lang w:eastAsia="zh-CN"/>
        </w:rPr>
        <w:t>询价</w:t>
      </w:r>
      <w:r>
        <w:rPr>
          <w:rFonts w:hint="eastAsia" w:ascii="仿宋_GB2312" w:hAnsi="仿宋_GB2312" w:eastAsia="仿宋_GB2312" w:cs="仿宋_GB2312"/>
          <w:color w:val="000000"/>
          <w:sz w:val="24"/>
          <w:szCs w:val="24"/>
          <w:highlight w:val="none"/>
        </w:rPr>
        <w:t>文件、报价文件及补充说明等。确定成交单位后，成交单位在</w:t>
      </w:r>
      <w:r>
        <w:rPr>
          <w:rFonts w:hint="eastAsia" w:ascii="仿宋_GB2312" w:hAnsi="仿宋_GB2312" w:eastAsia="仿宋_GB2312" w:cs="仿宋_GB2312"/>
          <w:color w:val="000000"/>
          <w:sz w:val="24"/>
          <w:szCs w:val="24"/>
          <w:highlight w:val="none"/>
          <w:u w:val="single"/>
          <w:lang w:val="en-US" w:eastAsia="zh-CN"/>
        </w:rPr>
        <w:t>30</w:t>
      </w:r>
      <w:r>
        <w:rPr>
          <w:rFonts w:hint="eastAsia" w:ascii="仿宋_GB2312" w:hAnsi="仿宋_GB2312" w:eastAsia="仿宋_GB2312" w:cs="仿宋_GB2312"/>
          <w:color w:val="000000"/>
          <w:sz w:val="24"/>
          <w:szCs w:val="24"/>
          <w:highlight w:val="none"/>
        </w:rPr>
        <w:t>天内与采购人签订合同。</w:t>
      </w:r>
    </w:p>
    <w:p w14:paraId="7AE42402">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strike w:val="0"/>
          <w:dstrike w:val="0"/>
          <w:color w:val="auto"/>
          <w:sz w:val="24"/>
          <w:szCs w:val="24"/>
          <w:highlight w:val="none"/>
          <w:u w:val="none"/>
          <w:shd w:val="clear" w:fill="auto"/>
        </w:rPr>
        <w:sym w:font="Wingdings" w:char="F0AB"/>
      </w:r>
      <w:r>
        <w:rPr>
          <w:rFonts w:hint="eastAsia" w:ascii="仿宋_GB2312" w:hAnsi="仿宋_GB2312" w:eastAsia="仿宋_GB2312" w:cs="仿宋_GB2312"/>
          <w:b/>
          <w:bCs/>
          <w:color w:val="000000"/>
          <w:sz w:val="24"/>
          <w:szCs w:val="24"/>
          <w:highlight w:val="none"/>
          <w:lang w:val="en-US" w:eastAsia="zh-CN"/>
        </w:rPr>
        <w:t>九</w:t>
      </w:r>
      <w:r>
        <w:rPr>
          <w:rFonts w:hint="eastAsia" w:ascii="仿宋_GB2312" w:hAnsi="仿宋_GB2312" w:eastAsia="仿宋_GB2312" w:cs="仿宋_GB2312"/>
          <w:b/>
          <w:bCs/>
          <w:color w:val="000000"/>
          <w:sz w:val="24"/>
          <w:szCs w:val="24"/>
          <w:highlight w:val="none"/>
        </w:rPr>
        <w:t>、响应文件的组成部分（响应文件本项资料如有不全，则作无效报价处理）</w:t>
      </w:r>
    </w:p>
    <w:p w14:paraId="0C2DD752">
      <w:pPr>
        <w:numPr>
          <w:ilvl w:val="0"/>
          <w:numId w:val="4"/>
        </w:num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报价函（模板）；</w:t>
      </w:r>
    </w:p>
    <w:p w14:paraId="7FE5B873">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2、法人证明（模板）以及法人身份证复印件；</w:t>
      </w:r>
    </w:p>
    <w:p w14:paraId="37DB5A81">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3、法人授权书（模板）及被委托人身份证复印件；</w:t>
      </w:r>
    </w:p>
    <w:p w14:paraId="53C952E2">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4、承诺函（模板）；</w:t>
      </w:r>
    </w:p>
    <w:p w14:paraId="66B2693A">
      <w:pPr>
        <w:spacing w:line="600" w:lineRule="exact"/>
        <w:ind w:firstLine="480" w:firstLineChars="200"/>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color w:val="000000"/>
          <w:sz w:val="24"/>
          <w:szCs w:val="24"/>
          <w:highlight w:val="none"/>
        </w:rPr>
        <w:t>5、响应人认为需要提供的其他资料。</w:t>
      </w:r>
    </w:p>
    <w:p w14:paraId="6184AFD0">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响应人须严格按照采购人提供的表单格式报价，响应文件必须装订完整，于骑缝处加盖投标单位企业公章。装有响应文件的文件袋须贴有密封条，于骑缝处加盖企业公章。</w:t>
      </w:r>
    </w:p>
    <w:p w14:paraId="034FC6A4">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十、响应文件份数</w:t>
      </w:r>
    </w:p>
    <w:p w14:paraId="431519E6">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正本一份</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副本一份</w:t>
      </w:r>
      <w:r>
        <w:rPr>
          <w:rFonts w:hint="eastAsia" w:ascii="仿宋_GB2312" w:hAnsi="仿宋_GB2312" w:eastAsia="仿宋_GB2312" w:cs="仿宋_GB2312"/>
          <w:color w:val="000000"/>
          <w:sz w:val="24"/>
          <w:szCs w:val="24"/>
          <w:highlight w:val="none"/>
        </w:rPr>
        <w:t>，并提供响应文件扫描件</w:t>
      </w:r>
      <w:r>
        <w:rPr>
          <w:rFonts w:hint="eastAsia" w:ascii="仿宋_GB2312" w:hAnsi="仿宋_GB2312" w:eastAsia="仿宋_GB2312" w:cs="仿宋_GB2312"/>
          <w:color w:val="000000"/>
          <w:sz w:val="24"/>
          <w:szCs w:val="24"/>
          <w:highlight w:val="none"/>
          <w:lang w:val="en-US" w:eastAsia="zh-CN"/>
        </w:rPr>
        <w:t>及</w:t>
      </w:r>
      <w:r>
        <w:rPr>
          <w:rFonts w:hint="eastAsia" w:ascii="仿宋_GB2312" w:hAnsi="仿宋_GB2312" w:eastAsia="仿宋_GB2312" w:cs="仿宋_GB2312"/>
          <w:color w:val="000000"/>
          <w:sz w:val="24"/>
          <w:szCs w:val="24"/>
          <w:highlight w:val="none"/>
        </w:rPr>
        <w:t>电子版（U盘）。</w:t>
      </w:r>
    </w:p>
    <w:p w14:paraId="0BC80937">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lang w:eastAsia="zh-CN"/>
        </w:rPr>
      </w:pPr>
      <w:r>
        <w:rPr>
          <w:rFonts w:hint="eastAsia" w:ascii="仿宋_GB2312" w:hAnsi="仿宋_GB2312" w:eastAsia="仿宋_GB2312" w:cs="仿宋_GB2312"/>
          <w:b/>
          <w:bCs/>
          <w:color w:val="000000"/>
          <w:sz w:val="24"/>
          <w:szCs w:val="24"/>
          <w:highlight w:val="none"/>
        </w:rPr>
        <w:t>十一、开标时间及地址</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现场提交文件</w:t>
      </w:r>
      <w:r>
        <w:rPr>
          <w:rFonts w:hint="eastAsia" w:ascii="仿宋_GB2312" w:hAnsi="仿宋_GB2312" w:eastAsia="仿宋_GB2312" w:cs="仿宋_GB2312"/>
          <w:b/>
          <w:bCs/>
          <w:color w:val="000000"/>
          <w:sz w:val="24"/>
          <w:szCs w:val="24"/>
          <w:highlight w:val="none"/>
          <w:lang w:eastAsia="zh-CN"/>
        </w:rPr>
        <w:t>）</w:t>
      </w:r>
    </w:p>
    <w:p w14:paraId="7869559B">
      <w:pPr>
        <w:spacing w:line="6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1、开标时间：</w:t>
      </w:r>
      <w:r>
        <w:rPr>
          <w:rFonts w:hint="eastAsia" w:ascii="仿宋_GB2312" w:hAnsi="仿宋_GB2312" w:eastAsia="仿宋_GB2312" w:cs="仿宋_GB2312"/>
          <w:b/>
          <w:color w:val="auto"/>
          <w:sz w:val="24"/>
          <w:szCs w:val="24"/>
          <w:highlight w:val="none"/>
          <w:u w:val="single"/>
          <w:lang w:val="en-US" w:eastAsia="zh-CN"/>
        </w:rPr>
        <w:t xml:space="preserve"> 2026年  月   日上午10:00 </w:t>
      </w:r>
      <w:r>
        <w:rPr>
          <w:rFonts w:hint="eastAsia" w:ascii="仿宋_GB2312" w:hAnsi="仿宋_GB2312" w:eastAsia="仿宋_GB2312" w:cs="仿宋_GB2312"/>
          <w:b/>
          <w:color w:val="auto"/>
          <w:sz w:val="24"/>
          <w:szCs w:val="24"/>
          <w:highlight w:val="none"/>
        </w:rPr>
        <w:t>。</w:t>
      </w:r>
    </w:p>
    <w:p w14:paraId="342A6787">
      <w:pPr>
        <w:spacing w:line="6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2、开标地址：</w:t>
      </w:r>
      <w:r>
        <w:rPr>
          <w:rFonts w:hint="eastAsia" w:ascii="仿宋_GB2312" w:hAnsi="仿宋_GB2312" w:eastAsia="仿宋_GB2312" w:cs="仿宋_GB2312"/>
          <w:b/>
          <w:color w:val="auto"/>
          <w:sz w:val="24"/>
          <w:szCs w:val="24"/>
          <w:highlight w:val="none"/>
          <w:u w:val="single"/>
        </w:rPr>
        <w:t>东莞市松山湖大学创新城G4栋20层会议室</w:t>
      </w:r>
    </w:p>
    <w:p w14:paraId="59B4C7D2">
      <w:pPr>
        <w:spacing w:line="6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翟工</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7EA80482">
      <w:pPr>
        <w:spacing w:line="6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38888010</w:t>
      </w:r>
      <w:r>
        <w:rPr>
          <w:rFonts w:hint="eastAsia" w:ascii="仿宋_GB2312" w:hAnsi="仿宋_GB2312" w:eastAsia="仿宋_GB2312" w:cs="仿宋_GB2312"/>
          <w:color w:val="auto"/>
          <w:sz w:val="24"/>
          <w:szCs w:val="24"/>
          <w:highlight w:val="none"/>
          <w:u w:val="single"/>
        </w:rPr>
        <w:t xml:space="preserve"> </w:t>
      </w:r>
    </w:p>
    <w:p w14:paraId="568AF900">
      <w:pPr>
        <w:adjustRightInd w:val="0"/>
        <w:snapToGrid w:val="0"/>
        <w:spacing w:line="600" w:lineRule="exact"/>
        <w:ind w:firstLine="482" w:firstLineChars="200"/>
        <w:outlineLvl w:val="1"/>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十</w:t>
      </w:r>
      <w:r>
        <w:rPr>
          <w:rFonts w:hint="eastAsia" w:ascii="仿宋_GB2312" w:hAnsi="仿宋_GB2312" w:eastAsia="仿宋_GB2312" w:cs="仿宋_GB2312"/>
          <w:b/>
          <w:bCs/>
          <w:color w:val="000000"/>
          <w:sz w:val="24"/>
          <w:szCs w:val="24"/>
          <w:highlight w:val="none"/>
          <w:lang w:val="en-US" w:eastAsia="zh-CN"/>
        </w:rPr>
        <w:t>二</w:t>
      </w:r>
      <w:r>
        <w:rPr>
          <w:rFonts w:hint="eastAsia" w:ascii="仿宋_GB2312" w:hAnsi="仿宋_GB2312" w:eastAsia="仿宋_GB2312" w:cs="仿宋_GB2312"/>
          <w:b/>
          <w:bCs/>
          <w:color w:val="000000"/>
          <w:sz w:val="24"/>
          <w:szCs w:val="24"/>
          <w:highlight w:val="none"/>
        </w:rPr>
        <w:t>、注意事项</w:t>
      </w:r>
    </w:p>
    <w:p w14:paraId="3EA2E6BF">
      <w:pPr>
        <w:spacing w:line="600" w:lineRule="exact"/>
        <w:ind w:firstLine="480" w:firstLineChars="200"/>
        <w:rPr>
          <w:rFonts w:hint="eastAsia" w:ascii="仿宋_GB2312" w:hAnsi="仿宋_GB2312" w:eastAsia="仿宋_GB2312" w:cs="仿宋_GB2312"/>
          <w:color w:val="000000"/>
          <w:sz w:val="24"/>
          <w:szCs w:val="24"/>
          <w:highlight w:val="none"/>
        </w:rPr>
      </w:pPr>
      <w:bookmarkStart w:id="0" w:name="_Hlk517879660"/>
      <w:r>
        <w:rPr>
          <w:rFonts w:hint="eastAsia" w:ascii="仿宋_GB2312" w:hAnsi="仿宋_GB2312" w:eastAsia="仿宋_GB2312" w:cs="仿宋_GB2312"/>
          <w:color w:val="000000"/>
          <w:sz w:val="24"/>
          <w:szCs w:val="24"/>
          <w:highlight w:val="none"/>
        </w:rPr>
        <w:t>1、若响应人未按规定时间</w:t>
      </w:r>
      <w:r>
        <w:rPr>
          <w:rFonts w:hint="eastAsia" w:ascii="仿宋_GB2312" w:hAnsi="仿宋_GB2312" w:eastAsia="仿宋_GB2312" w:cs="仿宋_GB2312"/>
          <w:b w:val="0"/>
          <w:bCs w:val="0"/>
          <w:color w:val="000000"/>
          <w:sz w:val="24"/>
          <w:szCs w:val="24"/>
          <w:highlight w:val="none"/>
          <w:u w:val="none"/>
        </w:rPr>
        <w:t>将文件送达现场</w:t>
      </w:r>
      <w:r>
        <w:rPr>
          <w:rFonts w:hint="eastAsia" w:ascii="仿宋_GB2312" w:hAnsi="仿宋_GB2312" w:eastAsia="仿宋_GB2312" w:cs="仿宋_GB2312"/>
          <w:color w:val="000000"/>
          <w:sz w:val="24"/>
          <w:szCs w:val="24"/>
          <w:highlight w:val="none"/>
        </w:rPr>
        <w:t>，视为放弃投标资格。</w:t>
      </w:r>
    </w:p>
    <w:p w14:paraId="316054CE">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2、采购人向响应人提供的有关资料和数据，是采购人现有的能使响应人利用的资料，采购人对响应人由此而做出的推论、理解和结论概不负责。</w:t>
      </w:r>
    </w:p>
    <w:p w14:paraId="6652E2DE">
      <w:pPr>
        <w:spacing w:line="60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3、本项目执行过程中将遵循国家、省、市有关法律、法规、标准、技术规范和规范性文件的最新规定。</w:t>
      </w:r>
      <w:bookmarkEnd w:id="0"/>
    </w:p>
    <w:p w14:paraId="61626E71">
      <w:pPr>
        <w:widowControl/>
        <w:spacing w:line="600" w:lineRule="exact"/>
        <w:ind w:firstLine="480" w:firstLineChars="20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4、成交单位对采购文件中技术条款作出的负偏离，采购人如不接受，可要求成交单位以采购文件的要求为准，如成交单位拒绝的，采购人有权取消其成交资格或</w:t>
      </w:r>
      <w:r>
        <w:rPr>
          <w:rFonts w:hint="eastAsia" w:ascii="仿宋_GB2312" w:hAnsi="仿宋_GB2312" w:eastAsia="仿宋_GB2312" w:cs="仿宋_GB2312"/>
          <w:strike w:val="0"/>
          <w:dstrike w:val="0"/>
          <w:color w:val="auto"/>
          <w:sz w:val="24"/>
          <w:szCs w:val="24"/>
          <w:highlight w:val="none"/>
          <w:u w:val="none"/>
          <w:shd w:val="clear" w:fill="auto"/>
        </w:rPr>
        <w:t>取消</w:t>
      </w:r>
      <w:r>
        <w:rPr>
          <w:rFonts w:hint="eastAsia" w:ascii="仿宋_GB2312" w:hAnsi="仿宋_GB2312" w:eastAsia="仿宋_GB2312" w:cs="仿宋_GB2312"/>
          <w:color w:val="000000"/>
          <w:sz w:val="24"/>
          <w:szCs w:val="24"/>
          <w:highlight w:val="none"/>
        </w:rPr>
        <w:t>合同。采购人不作任何补偿。</w:t>
      </w:r>
    </w:p>
    <w:p w14:paraId="108E41EF">
      <w:pPr>
        <w:spacing w:line="600" w:lineRule="exact"/>
        <w:ind w:firstLine="480" w:firstLineChars="200"/>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东莞市大学创新城建设发展有限公司</w:t>
      </w:r>
    </w:p>
    <w:p w14:paraId="5AC88D20">
      <w:pPr>
        <w:spacing w:line="600" w:lineRule="exact"/>
        <w:ind w:firstLine="480" w:firstLineChars="200"/>
        <w:jc w:val="right"/>
        <w:rPr>
          <w:rFonts w:hint="eastAsia" w:ascii="仿宋_GB2312" w:hAnsi="仿宋_GB2312" w:eastAsia="仿宋_GB2312" w:cs="仿宋_GB2312"/>
          <w:color w:val="000000"/>
          <w:sz w:val="24"/>
          <w:szCs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lang w:val="en-US" w:eastAsia="zh-CN"/>
        </w:rPr>
        <w:t>26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日</w:t>
      </w:r>
    </w:p>
    <w:p w14:paraId="4EE7AC6D">
      <w:pPr>
        <w:pStyle w:val="43"/>
        <w:ind w:firstLine="0" w:firstLineChars="0"/>
        <w:jc w:val="left"/>
        <w:outlineLvl w:val="1"/>
        <w:rPr>
          <w:rFonts w:hint="eastAsia" w:asciiTheme="majorEastAsia" w:hAnsiTheme="majorEastAsia" w:eastAsiaTheme="majorEastAsia" w:cstheme="majorEastAsia"/>
          <w:color w:val="000000"/>
          <w:sz w:val="24"/>
          <w:szCs w:val="24"/>
          <w:highlight w:val="none"/>
          <w:lang w:eastAsia="zh-CN"/>
        </w:rPr>
      </w:pPr>
      <w:bookmarkStart w:id="1" w:name="_Hlk524442005"/>
      <w:r>
        <w:rPr>
          <w:rFonts w:hint="eastAsia" w:ascii="仿宋_GB2312" w:hAnsi="仿宋_GB2312" w:eastAsia="仿宋_GB2312" w:cs="仿宋_GB2312"/>
          <w:color w:val="000000"/>
          <w:sz w:val="24"/>
          <w:szCs w:val="24"/>
          <w:highlight w:val="none"/>
        </w:rPr>
        <w:t>附件</w:t>
      </w:r>
      <w:r>
        <w:rPr>
          <w:rFonts w:hint="eastAsia" w:asciiTheme="majorEastAsia" w:hAnsiTheme="majorEastAsia" w:eastAsiaTheme="majorEastAsia" w:cstheme="majorEastAsia"/>
          <w:color w:val="000000"/>
          <w:sz w:val="24"/>
          <w:szCs w:val="24"/>
          <w:highlight w:val="none"/>
          <w:lang w:val="en-US" w:eastAsia="zh-CN"/>
        </w:rPr>
        <w:t>一</w:t>
      </w:r>
      <w:r>
        <w:rPr>
          <w:rFonts w:hint="eastAsia" w:asciiTheme="majorEastAsia" w:hAnsiTheme="majorEastAsia" w:eastAsiaTheme="majorEastAsia" w:cstheme="majorEastAsia"/>
          <w:color w:val="000000"/>
          <w:sz w:val="24"/>
          <w:szCs w:val="24"/>
          <w:highlight w:val="none"/>
        </w:rPr>
        <w:t>报价函</w:t>
      </w:r>
      <w:r>
        <w:rPr>
          <w:rFonts w:hint="eastAsia" w:asciiTheme="majorEastAsia" w:hAnsiTheme="majorEastAsia" w:eastAsiaTheme="majorEastAsia" w:cstheme="majorEastAsia"/>
          <w:color w:val="000000"/>
          <w:sz w:val="24"/>
          <w:szCs w:val="24"/>
          <w:highlight w:val="none"/>
          <w:lang w:eastAsia="zh-CN"/>
        </w:rPr>
        <w:t>（</w:t>
      </w:r>
      <w:r>
        <w:rPr>
          <w:rFonts w:hint="eastAsia" w:asciiTheme="majorEastAsia" w:hAnsiTheme="majorEastAsia" w:eastAsiaTheme="majorEastAsia" w:cstheme="majorEastAsia"/>
          <w:color w:val="000000"/>
          <w:sz w:val="24"/>
          <w:szCs w:val="24"/>
          <w:highlight w:val="none"/>
          <w:lang w:val="en-US" w:eastAsia="zh-CN"/>
        </w:rPr>
        <w:t>模板</w:t>
      </w:r>
      <w:r>
        <w:rPr>
          <w:rFonts w:hint="eastAsia" w:asciiTheme="majorEastAsia" w:hAnsiTheme="majorEastAsia" w:eastAsiaTheme="majorEastAsia" w:cstheme="majorEastAsia"/>
          <w:color w:val="000000"/>
          <w:sz w:val="24"/>
          <w:szCs w:val="24"/>
          <w:highlight w:val="none"/>
          <w:lang w:eastAsia="zh-CN"/>
        </w:rPr>
        <w:t>）</w:t>
      </w:r>
    </w:p>
    <w:p w14:paraId="3675F420">
      <w:pPr>
        <w:spacing w:line="240" w:lineRule="auto"/>
        <w:jc w:val="cente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报 价 函</w:t>
      </w:r>
    </w:p>
    <w:p w14:paraId="034F7CBD">
      <w:pPr>
        <w:jc w:val="right"/>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val="0"/>
          <w:bCs w:val="0"/>
          <w:sz w:val="28"/>
          <w:szCs w:val="28"/>
          <w:highlight w:val="none"/>
          <w:lang w:val="en-US" w:eastAsia="zh-CN"/>
        </w:rPr>
        <w:t>年  月  日</w:t>
      </w:r>
    </w:p>
    <w:tbl>
      <w:tblPr>
        <w:tblStyle w:val="26"/>
        <w:tblW w:w="50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1478"/>
        <w:gridCol w:w="2411"/>
        <w:gridCol w:w="3636"/>
      </w:tblGrid>
      <w:tr w14:paraId="79CD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000" w:type="pct"/>
            <w:gridSpan w:val="4"/>
            <w:vAlign w:val="center"/>
          </w:tcPr>
          <w:p w14:paraId="71F44D51">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采购单位：东莞市大学创新城建设发展有限公司</w:t>
            </w:r>
          </w:p>
        </w:tc>
      </w:tr>
      <w:tr w14:paraId="1DF4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6" w:type="pct"/>
            <w:vAlign w:val="center"/>
          </w:tcPr>
          <w:p w14:paraId="56F38386">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联系人：翟工</w:t>
            </w:r>
          </w:p>
        </w:tc>
        <w:tc>
          <w:tcPr>
            <w:tcW w:w="3903" w:type="pct"/>
            <w:gridSpan w:val="3"/>
            <w:vAlign w:val="center"/>
          </w:tcPr>
          <w:p w14:paraId="25D7E4E3">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联系电话：38888010</w:t>
            </w:r>
          </w:p>
        </w:tc>
      </w:tr>
      <w:tr w14:paraId="23AF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6" w:type="pct"/>
            <w:vAlign w:val="center"/>
          </w:tcPr>
          <w:p w14:paraId="10543E37">
            <w:pPr>
              <w:jc w:val="center"/>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项目名称</w:t>
            </w:r>
          </w:p>
        </w:tc>
        <w:tc>
          <w:tcPr>
            <w:tcW w:w="3903" w:type="pct"/>
            <w:gridSpan w:val="3"/>
            <w:vAlign w:val="center"/>
          </w:tcPr>
          <w:p w14:paraId="7EE95993">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松山湖国际创新创业社区G4栋10楼装修项目监理服务</w:t>
            </w:r>
          </w:p>
        </w:tc>
      </w:tr>
      <w:tr w14:paraId="3F53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6" w:type="pct"/>
            <w:vAlign w:val="center"/>
          </w:tcPr>
          <w:p w14:paraId="5C2302EE">
            <w:pPr>
              <w:jc w:val="center"/>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服务内容</w:t>
            </w:r>
          </w:p>
        </w:tc>
        <w:tc>
          <w:tcPr>
            <w:tcW w:w="3903" w:type="pct"/>
            <w:gridSpan w:val="3"/>
            <w:vAlign w:val="center"/>
          </w:tcPr>
          <w:p w14:paraId="345E0C87">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按合同约定执行</w:t>
            </w:r>
          </w:p>
        </w:tc>
      </w:tr>
      <w:tr w14:paraId="7B79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6" w:type="pct"/>
            <w:vAlign w:val="center"/>
          </w:tcPr>
          <w:p w14:paraId="5349FFB4">
            <w:pPr>
              <w:jc w:val="center"/>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报价须知</w:t>
            </w:r>
          </w:p>
        </w:tc>
        <w:tc>
          <w:tcPr>
            <w:tcW w:w="3903" w:type="pct"/>
            <w:gridSpan w:val="3"/>
            <w:vAlign w:val="center"/>
          </w:tcPr>
          <w:p w14:paraId="79948720">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（一）监理服务费按</w:t>
            </w:r>
            <w:r>
              <w:rPr>
                <w:rFonts w:hint="eastAsia" w:ascii="仿宋_GB2312" w:hAnsi="仿宋_GB2312" w:eastAsia="仿宋_GB2312" w:cs="仿宋_GB2312"/>
                <w:color w:val="000000"/>
                <w:sz w:val="24"/>
                <w:szCs w:val="24"/>
                <w:highlight w:val="none"/>
                <w:u w:val="single"/>
                <w:lang w:val="en-US" w:eastAsia="zh-CN"/>
              </w:rPr>
              <w:t>施工项目合同价作为计算基础</w:t>
            </w:r>
            <w:r>
              <w:rPr>
                <w:rFonts w:hint="eastAsia" w:ascii="仿宋_GB2312" w:hAnsi="仿宋_GB2312" w:eastAsia="仿宋_GB2312" w:cs="仿宋_GB2312"/>
                <w:color w:val="000000"/>
                <w:sz w:val="24"/>
                <w:szCs w:val="24"/>
                <w:highlight w:val="none"/>
                <w:u w:val="none"/>
                <w:lang w:val="en-US" w:eastAsia="zh-CN"/>
              </w:rPr>
              <w:t>，根据《国家发展改革委、建设部关于印发〈建设工程监理与相关服务收费管理规定〉的通知》（发改价格［2007］670号文）及其适用的最新修订规定的收费基价（建安费计费额处于两个数值区间的，采用直线内插法确定施工监理服务收费基价）及中标人报价的监理服务收费系数计算，具体约定及计算方法如下：</w:t>
            </w:r>
          </w:p>
          <w:p w14:paraId="7483685F">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1.施工监理服务收费（监理单项项目合同酬金）=施工监理服务收费基准价×监理服务收费系数；</w:t>
            </w:r>
          </w:p>
          <w:p w14:paraId="72FC37A0">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2.施工监理服务收费基准价=施工监理服务收费基价×专业调整系数×工程复杂程度调整系数×高程调整系数。各系数按《建设工程监理与相关服务收费标准》规定执行，其中：专业调整系数为 1.0 ，工程复杂程度调整系数为 1.0 ，高程调整系数为 1.0 ；</w:t>
            </w:r>
          </w:p>
          <w:p w14:paraId="54364A2F">
            <w:pPr>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2、供应商在报价函中填写收费服务系数，填报范围0-0.8的值，精确到小数点后两位。</w:t>
            </w:r>
          </w:p>
          <w:p w14:paraId="55771A24">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3、报价排序按供应商有效报价从低到高的顺序确定。报价最低且为有效报价的供应商确定为成交供应商，若出现多家综合报价费率最低且相同的供应商，则以先提交文件的作为入围供应商。</w:t>
            </w:r>
          </w:p>
        </w:tc>
      </w:tr>
      <w:tr w14:paraId="38A2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1096" w:type="pct"/>
            <w:vAlign w:val="center"/>
          </w:tcPr>
          <w:p w14:paraId="1866FEEF">
            <w:pPr>
              <w:jc w:val="center"/>
              <w:rPr>
                <w:rFonts w:hint="eastAsia" w:ascii="仿宋_GB2312" w:hAnsi="仿宋_GB2312" w:eastAsia="仿宋_GB2312" w:cs="仿宋_GB2312"/>
                <w:b/>
                <w:bCs/>
                <w:color w:val="000000"/>
                <w:sz w:val="28"/>
                <w:szCs w:val="28"/>
                <w:highlight w:val="none"/>
                <w:u w:val="none"/>
                <w:lang w:val="en-US" w:eastAsia="zh-CN"/>
              </w:rPr>
            </w:pPr>
            <w:r>
              <w:rPr>
                <w:rFonts w:hint="eastAsia" w:ascii="仿宋_GB2312" w:hAnsi="仿宋_GB2312" w:eastAsia="仿宋_GB2312" w:cs="仿宋_GB2312"/>
                <w:b/>
                <w:bCs/>
                <w:color w:val="000000"/>
                <w:sz w:val="28"/>
                <w:szCs w:val="28"/>
                <w:highlight w:val="none"/>
                <w:u w:val="none"/>
                <w:lang w:val="en-US" w:eastAsia="zh-CN"/>
              </w:rPr>
              <w:t>监理服务</w:t>
            </w:r>
          </w:p>
          <w:p w14:paraId="6368C0C7">
            <w:pPr>
              <w:jc w:val="center"/>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b/>
                <w:bCs/>
                <w:color w:val="000000"/>
                <w:sz w:val="28"/>
                <w:szCs w:val="28"/>
                <w:highlight w:val="none"/>
                <w:u w:val="none"/>
                <w:lang w:val="en-US" w:eastAsia="zh-CN"/>
              </w:rPr>
              <w:t>收费系数</w:t>
            </w:r>
          </w:p>
        </w:tc>
        <w:tc>
          <w:tcPr>
            <w:tcW w:w="3903" w:type="pct"/>
            <w:gridSpan w:val="3"/>
            <w:vAlign w:val="center"/>
          </w:tcPr>
          <w:p w14:paraId="3BDDCD08">
            <w:pPr>
              <w:jc w:val="center"/>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【该处填写0--0.8间的数值，否则无效（精确到小数点后两位）】</w:t>
            </w:r>
          </w:p>
        </w:tc>
      </w:tr>
      <w:tr w14:paraId="0007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863" w:type="pct"/>
            <w:gridSpan w:val="2"/>
            <w:vAlign w:val="center"/>
          </w:tcPr>
          <w:p w14:paraId="65B29B0C">
            <w:pPr>
              <w:jc w:val="center"/>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响应人名称（加盖印章）：</w:t>
            </w:r>
          </w:p>
        </w:tc>
        <w:tc>
          <w:tcPr>
            <w:tcW w:w="1251" w:type="pct"/>
            <w:vAlign w:val="center"/>
          </w:tcPr>
          <w:p w14:paraId="76CE3C74">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联系人：</w:t>
            </w:r>
          </w:p>
        </w:tc>
        <w:tc>
          <w:tcPr>
            <w:tcW w:w="1884" w:type="pct"/>
            <w:vAlign w:val="center"/>
          </w:tcPr>
          <w:p w14:paraId="4D63EB29">
            <w:pPr>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联系电话：</w:t>
            </w:r>
          </w:p>
        </w:tc>
      </w:tr>
    </w:tbl>
    <w:p w14:paraId="6C846AA9">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u w:val="none"/>
          <w:lang w:val="en-US" w:eastAsia="zh-CN"/>
        </w:rPr>
        <w:t>法定代表人（签名或盖章）：</w:t>
      </w:r>
    </w:p>
    <w:p w14:paraId="394F57B9">
      <w:pPr>
        <w:rPr>
          <w:rFonts w:hint="eastAsia" w:ascii="仿宋_GB2312" w:hAnsi="仿宋_GB2312" w:eastAsia="仿宋_GB2312" w:cs="仿宋_GB2312"/>
          <w:highlight w:val="none"/>
        </w:rPr>
      </w:pPr>
    </w:p>
    <w:p w14:paraId="70982F4A">
      <w:pPr>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14:paraId="2F89AF4B">
      <w:pPr>
        <w:rPr>
          <w:rFonts w:hint="eastAsia" w:ascii="仿宋_GB2312" w:hAnsi="仿宋_GB2312" w:eastAsia="仿宋_GB2312" w:cs="仿宋_GB2312"/>
          <w:highlight w:val="none"/>
        </w:rPr>
        <w:sectPr>
          <w:pgSz w:w="11907" w:h="16840"/>
          <w:pgMar w:top="1135" w:right="1134" w:bottom="851" w:left="1418" w:header="851" w:footer="1191" w:gutter="0"/>
          <w:pgBorders>
            <w:top w:val="none" w:sz="0" w:space="0"/>
            <w:left w:val="none" w:sz="0" w:space="0"/>
            <w:bottom w:val="none" w:sz="0" w:space="0"/>
            <w:right w:val="none" w:sz="0" w:space="0"/>
          </w:pgBorders>
          <w:cols w:space="720" w:num="1"/>
          <w:docGrid w:type="linesAndChars" w:linePitch="332" w:charSpace="0"/>
        </w:sectPr>
      </w:pPr>
    </w:p>
    <w:p w14:paraId="63F1971E">
      <w:pPr>
        <w:pStyle w:val="43"/>
        <w:ind w:firstLine="0" w:firstLineChars="0"/>
        <w:jc w:val="left"/>
        <w:outlineLvl w:val="1"/>
        <w:rPr>
          <w:rFonts w:hint="eastAsia" w:ascii="仿宋_GB2312" w:hAnsi="仿宋_GB2312" w:eastAsia="仿宋_GB2312" w:cs="仿宋_GB2312"/>
          <w:color w:val="000000"/>
          <w:sz w:val="24"/>
          <w:szCs w:val="24"/>
          <w:highlight w:val="none"/>
        </w:rPr>
      </w:pPr>
    </w:p>
    <w:p w14:paraId="59F1E386">
      <w:pPr>
        <w:pStyle w:val="43"/>
        <w:ind w:firstLine="0" w:firstLineChars="0"/>
        <w:jc w:val="left"/>
        <w:outlineLvl w:val="1"/>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附件</w:t>
      </w:r>
      <w:r>
        <w:rPr>
          <w:rFonts w:hint="eastAsia" w:ascii="仿宋_GB2312" w:hAnsi="仿宋_GB2312" w:eastAsia="仿宋_GB2312" w:cs="仿宋_GB2312"/>
          <w:color w:val="000000"/>
          <w:sz w:val="24"/>
          <w:szCs w:val="24"/>
          <w:highlight w:val="none"/>
          <w:lang w:val="en-US" w:eastAsia="zh-CN"/>
        </w:rPr>
        <w:t>二</w:t>
      </w:r>
      <w:r>
        <w:rPr>
          <w:rFonts w:hint="eastAsia" w:ascii="仿宋_GB2312" w:hAnsi="仿宋_GB2312" w:eastAsia="仿宋_GB2312" w:cs="仿宋_GB2312"/>
          <w:color w:val="000000"/>
          <w:sz w:val="24"/>
          <w:szCs w:val="24"/>
          <w:highlight w:val="none"/>
        </w:rPr>
        <w:t>法人证明</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模板</w:t>
      </w:r>
      <w:r>
        <w:rPr>
          <w:rFonts w:hint="eastAsia" w:ascii="仿宋_GB2312" w:hAnsi="仿宋_GB2312" w:eastAsia="仿宋_GB2312" w:cs="仿宋_GB2312"/>
          <w:color w:val="000000"/>
          <w:sz w:val="24"/>
          <w:szCs w:val="24"/>
          <w:highlight w:val="none"/>
          <w:lang w:eastAsia="zh-CN"/>
        </w:rPr>
        <w:t>）</w:t>
      </w:r>
    </w:p>
    <w:p w14:paraId="17B0074E">
      <w:pPr>
        <w:pStyle w:val="43"/>
        <w:ind w:firstLine="0" w:firstLineChars="0"/>
        <w:jc w:val="left"/>
        <w:rPr>
          <w:rFonts w:hint="eastAsia" w:ascii="仿宋_GB2312" w:hAnsi="仿宋_GB2312" w:eastAsia="仿宋_GB2312" w:cs="仿宋_GB2312"/>
          <w:color w:val="000000"/>
          <w:sz w:val="24"/>
          <w:szCs w:val="24"/>
          <w:highlight w:val="none"/>
        </w:rPr>
      </w:pPr>
    </w:p>
    <w:p w14:paraId="756B5548">
      <w:pPr>
        <w:jc w:val="cente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法定代表人身份证明书及法定代表人身份证复印件</w:t>
      </w:r>
    </w:p>
    <w:p w14:paraId="51CA41D6">
      <w:pPr>
        <w:rPr>
          <w:rFonts w:hint="eastAsia" w:ascii="仿宋_GB2312" w:hAnsi="仿宋_GB2312" w:eastAsia="仿宋_GB2312" w:cs="仿宋_GB2312"/>
          <w:color w:val="000000"/>
          <w:sz w:val="24"/>
          <w:szCs w:val="24"/>
          <w:highlight w:val="none"/>
        </w:rPr>
      </w:pPr>
    </w:p>
    <w:p w14:paraId="58C56AC6">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u w:val="single"/>
        </w:rPr>
        <w:t>东莞市大学创新城建设发展有限公司</w:t>
      </w:r>
      <w:r>
        <w:rPr>
          <w:rFonts w:hint="eastAsia" w:ascii="仿宋_GB2312" w:hAnsi="仿宋_GB2312" w:eastAsia="仿宋_GB2312" w:cs="仿宋_GB2312"/>
          <w:color w:val="000000"/>
          <w:sz w:val="24"/>
          <w:szCs w:val="24"/>
          <w:highlight w:val="none"/>
        </w:rPr>
        <w:t>：</w:t>
      </w:r>
    </w:p>
    <w:p w14:paraId="03D2E068">
      <w:pPr>
        <w:pStyle w:val="42"/>
        <w:ind w:firstLine="494"/>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本证明书声明：注册于（国家名称）的</w:t>
      </w:r>
      <w:r>
        <w:rPr>
          <w:rFonts w:hint="eastAsia" w:ascii="仿宋_GB2312" w:hAnsi="仿宋_GB2312" w:eastAsia="仿宋_GB2312" w:cs="仿宋_GB2312"/>
          <w:color w:val="000000"/>
          <w:sz w:val="24"/>
          <w:szCs w:val="24"/>
          <w:highlight w:val="none"/>
          <w:u w:val="single"/>
        </w:rPr>
        <w:t>　</w:t>
      </w:r>
      <w:r>
        <w:rPr>
          <w:rFonts w:hint="eastAsia" w:hAnsi="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single"/>
        </w:rPr>
        <w:t>　</w:t>
      </w:r>
      <w:r>
        <w:rPr>
          <w:rFonts w:hint="eastAsia" w:ascii="仿宋_GB2312" w:hAnsi="仿宋_GB2312" w:eastAsia="仿宋_GB2312" w:cs="仿宋_GB2312"/>
          <w:color w:val="000000"/>
          <w:sz w:val="24"/>
          <w:szCs w:val="24"/>
          <w:highlight w:val="none"/>
        </w:rPr>
        <w:t>（响应人名称）在下面签字的</w:t>
      </w:r>
      <w:r>
        <w:rPr>
          <w:rFonts w:hint="eastAsia" w:ascii="仿宋_GB2312" w:hAnsi="仿宋_GB2312" w:eastAsia="仿宋_GB2312" w:cs="仿宋_GB2312"/>
          <w:color w:val="000000"/>
          <w:sz w:val="24"/>
          <w:szCs w:val="24"/>
          <w:highlight w:val="none"/>
          <w:u w:val="single"/>
        </w:rPr>
        <w:t>　　　　　</w:t>
      </w:r>
      <w:r>
        <w:rPr>
          <w:rFonts w:hint="eastAsia" w:ascii="仿宋_GB2312" w:hAnsi="仿宋_GB2312" w:eastAsia="仿宋_GB2312" w:cs="仿宋_GB2312"/>
          <w:color w:val="000000"/>
          <w:sz w:val="24"/>
          <w:szCs w:val="24"/>
          <w:highlight w:val="none"/>
        </w:rPr>
        <w:t>（法定代表人姓名、职务）为本公司的合法代表人（</w:t>
      </w:r>
      <w:r>
        <w:rPr>
          <w:rFonts w:hint="eastAsia" w:ascii="仿宋_GB2312" w:hAnsi="仿宋_GB2312" w:eastAsia="仿宋_GB2312" w:cs="仿宋_GB2312"/>
          <w:b/>
          <w:bCs/>
          <w:color w:val="000000"/>
          <w:sz w:val="24"/>
          <w:szCs w:val="24"/>
          <w:highlight w:val="none"/>
        </w:rPr>
        <w:t>须附法定代表人身份证复印件</w:t>
      </w:r>
      <w:r>
        <w:rPr>
          <w:rFonts w:hint="eastAsia" w:ascii="仿宋_GB2312" w:hAnsi="仿宋_GB2312" w:eastAsia="仿宋_GB2312" w:cs="仿宋_GB2312"/>
          <w:color w:val="000000"/>
          <w:sz w:val="24"/>
          <w:szCs w:val="24"/>
          <w:highlight w:val="none"/>
        </w:rPr>
        <w:t>）。</w:t>
      </w:r>
    </w:p>
    <w:p w14:paraId="33E1EF9F">
      <w:pPr>
        <w:spacing w:line="600" w:lineRule="exact"/>
        <w:ind w:firstLine="360" w:firstLineChars="15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特此证明</w:t>
      </w:r>
    </w:p>
    <w:p w14:paraId="12589C7D">
      <w:pPr>
        <w:spacing w:line="600" w:lineRule="exact"/>
        <w:rPr>
          <w:rFonts w:hint="eastAsia" w:ascii="仿宋_GB2312" w:hAnsi="仿宋_GB2312" w:eastAsia="仿宋_GB2312" w:cs="仿宋_GB2312"/>
          <w:color w:val="000000"/>
          <w:sz w:val="24"/>
          <w:szCs w:val="24"/>
          <w:highlight w:val="none"/>
        </w:rPr>
      </w:pPr>
    </w:p>
    <w:p w14:paraId="6538F6B0">
      <w:pPr>
        <w:spacing w:line="600" w:lineRule="exact"/>
        <w:rPr>
          <w:rFonts w:hint="eastAsia" w:ascii="仿宋_GB2312" w:hAnsi="仿宋_GB2312" w:eastAsia="仿宋_GB2312" w:cs="仿宋_GB2312"/>
          <w:color w:val="000000"/>
          <w:sz w:val="24"/>
          <w:szCs w:val="24"/>
          <w:highlight w:val="none"/>
        </w:rPr>
      </w:pPr>
    </w:p>
    <w:p w14:paraId="02935EB3">
      <w:pPr>
        <w:spacing w:line="600" w:lineRule="exact"/>
        <w:rPr>
          <w:rFonts w:hint="eastAsia" w:ascii="仿宋_GB2312" w:hAnsi="仿宋_GB2312" w:eastAsia="仿宋_GB2312" w:cs="仿宋_GB2312"/>
          <w:color w:val="000000"/>
          <w:sz w:val="24"/>
          <w:szCs w:val="24"/>
          <w:highlight w:val="none"/>
        </w:rPr>
      </w:pPr>
    </w:p>
    <w:p w14:paraId="3D31BB55">
      <w:pPr>
        <w:spacing w:line="60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响应人名称（加盖公章）：</w:t>
      </w:r>
    </w:p>
    <w:p w14:paraId="2CDB57D1">
      <w:pPr>
        <w:spacing w:line="60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响应人地址：</w:t>
      </w:r>
    </w:p>
    <w:p w14:paraId="54C12D5C">
      <w:pPr>
        <w:spacing w:line="60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法定代表人（签名或盖私章）：</w:t>
      </w:r>
    </w:p>
    <w:p w14:paraId="320F6A8E">
      <w:pPr>
        <w:spacing w:line="60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职务：</w:t>
      </w:r>
    </w:p>
    <w:p w14:paraId="55ABA9DD">
      <w:pPr>
        <w:rPr>
          <w:rFonts w:hint="eastAsia" w:ascii="仿宋_GB2312" w:hAnsi="仿宋_GB2312" w:eastAsia="仿宋_GB2312" w:cs="仿宋_GB2312"/>
          <w:color w:val="000000"/>
          <w:sz w:val="24"/>
          <w:szCs w:val="24"/>
          <w:highlight w:val="none"/>
        </w:rPr>
      </w:pPr>
    </w:p>
    <w:p w14:paraId="61A76AD8">
      <w:pPr>
        <w:widowControl/>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br w:type="page"/>
      </w:r>
      <w:bookmarkStart w:id="2" w:name="_Toc384752807"/>
    </w:p>
    <w:p w14:paraId="79BAB536">
      <w:pPr>
        <w:pStyle w:val="43"/>
        <w:ind w:firstLine="0" w:firstLineChars="0"/>
        <w:jc w:val="left"/>
        <w:outlineLvl w:val="1"/>
        <w:rPr>
          <w:rFonts w:hint="eastAsia" w:ascii="仿宋_GB2312" w:hAnsi="仿宋_GB2312" w:eastAsia="仿宋_GB2312" w:cs="仿宋_GB2312"/>
          <w:color w:val="000000"/>
          <w:sz w:val="24"/>
          <w:szCs w:val="24"/>
          <w:highlight w:val="none"/>
        </w:rPr>
      </w:pPr>
      <w:bookmarkStart w:id="3" w:name="_Hlk40704362"/>
      <w:r>
        <w:rPr>
          <w:rFonts w:hint="eastAsia" w:ascii="仿宋_GB2312" w:hAnsi="仿宋_GB2312" w:eastAsia="仿宋_GB2312" w:cs="仿宋_GB2312"/>
          <w:color w:val="000000"/>
          <w:sz w:val="24"/>
          <w:szCs w:val="24"/>
          <w:highlight w:val="none"/>
        </w:rPr>
        <w:t>附件</w:t>
      </w:r>
      <w:r>
        <w:rPr>
          <w:rFonts w:hint="eastAsia" w:ascii="仿宋_GB2312" w:hAnsi="仿宋_GB2312" w:eastAsia="仿宋_GB2312" w:cs="仿宋_GB2312"/>
          <w:color w:val="000000"/>
          <w:sz w:val="24"/>
          <w:szCs w:val="24"/>
          <w:highlight w:val="none"/>
          <w:lang w:val="en-US" w:eastAsia="zh-CN"/>
        </w:rPr>
        <w:t>三</w:t>
      </w:r>
      <w:r>
        <w:rPr>
          <w:rFonts w:hint="eastAsia" w:ascii="仿宋_GB2312" w:hAnsi="仿宋_GB2312" w:eastAsia="仿宋_GB2312" w:cs="仿宋_GB2312"/>
          <w:color w:val="000000"/>
          <w:sz w:val="24"/>
          <w:szCs w:val="24"/>
          <w:highlight w:val="none"/>
        </w:rPr>
        <w:t>法人授权书</w:t>
      </w:r>
    </w:p>
    <w:p w14:paraId="23A9BC25">
      <w:pPr>
        <w:widowControl/>
        <w:jc w:val="center"/>
        <w:rPr>
          <w:rFonts w:hint="eastAsia" w:ascii="仿宋_GB2312" w:hAnsi="仿宋_GB2312" w:eastAsia="仿宋_GB2312" w:cs="仿宋_GB2312"/>
          <w:b/>
          <w:color w:val="000000"/>
          <w:sz w:val="24"/>
          <w:szCs w:val="24"/>
          <w:highlight w:val="none"/>
        </w:rPr>
      </w:pPr>
    </w:p>
    <w:p w14:paraId="37AC24A7">
      <w:pPr>
        <w:widowControl/>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b/>
          <w:color w:val="000000"/>
          <w:sz w:val="24"/>
          <w:szCs w:val="24"/>
          <w:highlight w:val="none"/>
        </w:rPr>
        <w:t>授权委托书</w:t>
      </w:r>
      <w:bookmarkEnd w:id="2"/>
    </w:p>
    <w:p w14:paraId="7004FA34">
      <w:pPr>
        <w:pStyle w:val="42"/>
        <w:ind w:firstLine="0" w:firstLineChars="0"/>
        <w:rPr>
          <w:rFonts w:hint="eastAsia" w:ascii="仿宋_GB2312" w:hAnsi="仿宋_GB2312" w:eastAsia="仿宋_GB2312" w:cs="仿宋_GB2312"/>
          <w:color w:val="000000"/>
          <w:sz w:val="24"/>
          <w:szCs w:val="24"/>
          <w:highlight w:val="none"/>
        </w:rPr>
      </w:pPr>
    </w:p>
    <w:p w14:paraId="4DB4CE30">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u w:val="single"/>
        </w:rPr>
        <w:t>东莞市大学创新城建设发展有限公司</w:t>
      </w:r>
      <w:r>
        <w:rPr>
          <w:rFonts w:hint="eastAsia" w:ascii="仿宋_GB2312" w:hAnsi="仿宋_GB2312" w:eastAsia="仿宋_GB2312" w:cs="仿宋_GB2312"/>
          <w:color w:val="000000"/>
          <w:sz w:val="24"/>
          <w:szCs w:val="24"/>
          <w:highlight w:val="none"/>
        </w:rPr>
        <w:t>：</w:t>
      </w:r>
    </w:p>
    <w:p w14:paraId="665300FD">
      <w:pPr>
        <w:pStyle w:val="42"/>
        <w:ind w:firstLine="494"/>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本委托书声明：在下面签字的</w:t>
      </w:r>
      <w:r>
        <w:rPr>
          <w:rFonts w:hint="eastAsia" w:ascii="仿宋_GB2312" w:hAnsi="仿宋_GB2312" w:eastAsia="仿宋_GB2312" w:cs="仿宋_GB2312"/>
          <w:color w:val="000000"/>
          <w:sz w:val="24"/>
          <w:szCs w:val="24"/>
          <w:highlight w:val="none"/>
          <w:u w:val="single"/>
        </w:rPr>
        <w:t>（填写法定代表人姓名、职务）</w:t>
      </w:r>
      <w:r>
        <w:rPr>
          <w:rFonts w:hint="eastAsia" w:ascii="仿宋_GB2312" w:hAnsi="仿宋_GB2312" w:eastAsia="仿宋_GB2312" w:cs="仿宋_GB2312"/>
          <w:color w:val="000000"/>
          <w:sz w:val="24"/>
          <w:szCs w:val="24"/>
          <w:highlight w:val="none"/>
        </w:rPr>
        <w:t>代表</w:t>
      </w:r>
      <w:r>
        <w:rPr>
          <w:rFonts w:hint="eastAsia" w:ascii="仿宋_GB2312" w:hAnsi="仿宋_GB2312" w:eastAsia="仿宋_GB2312" w:cs="仿宋_GB2312"/>
          <w:color w:val="000000"/>
          <w:sz w:val="24"/>
          <w:szCs w:val="24"/>
          <w:highlight w:val="none"/>
          <w:u w:val="single"/>
        </w:rPr>
        <w:t>（填写响应人名称）</w:t>
      </w:r>
      <w:r>
        <w:rPr>
          <w:rFonts w:hint="eastAsia" w:ascii="仿宋_GB2312" w:hAnsi="仿宋_GB2312" w:eastAsia="仿宋_GB2312" w:cs="仿宋_GB2312"/>
          <w:color w:val="000000"/>
          <w:sz w:val="24"/>
          <w:szCs w:val="24"/>
          <w:highlight w:val="none"/>
        </w:rPr>
        <w:t>委托在下面签字的</w:t>
      </w:r>
      <w:r>
        <w:rPr>
          <w:rFonts w:hint="eastAsia" w:ascii="仿宋_GB2312" w:hAnsi="仿宋_GB2312" w:eastAsia="仿宋_GB2312" w:cs="仿宋_GB2312"/>
          <w:color w:val="000000"/>
          <w:sz w:val="24"/>
          <w:szCs w:val="24"/>
          <w:highlight w:val="none"/>
          <w:u w:val="single"/>
        </w:rPr>
        <w:t>（填写受委托人的姓名、职务）</w:t>
      </w:r>
      <w:r>
        <w:rPr>
          <w:rFonts w:hint="eastAsia" w:ascii="仿宋_GB2312" w:hAnsi="仿宋_GB2312" w:eastAsia="仿宋_GB2312" w:cs="仿宋_GB2312"/>
          <w:color w:val="000000"/>
          <w:sz w:val="24"/>
          <w:szCs w:val="24"/>
          <w:highlight w:val="none"/>
        </w:rPr>
        <w:t>为本公司的合法代表人，就</w:t>
      </w:r>
      <w:r>
        <w:rPr>
          <w:rFonts w:hint="eastAsia" w:ascii="仿宋_GB2312" w:hAnsi="仿宋_GB2312" w:eastAsia="仿宋_GB2312" w:cs="仿宋_GB2312"/>
          <w:color w:val="000000"/>
          <w:sz w:val="24"/>
          <w:szCs w:val="24"/>
          <w:highlight w:val="none"/>
          <w:u w:val="single"/>
        </w:rPr>
        <w:t>（填写项目名称）</w:t>
      </w:r>
      <w:r>
        <w:rPr>
          <w:rFonts w:hint="eastAsia" w:ascii="仿宋_GB2312" w:hAnsi="仿宋_GB2312" w:eastAsia="仿宋_GB2312" w:cs="仿宋_GB2312"/>
          <w:color w:val="000000"/>
          <w:sz w:val="24"/>
          <w:szCs w:val="24"/>
          <w:highlight w:val="none"/>
        </w:rPr>
        <w:t>项目等相关服务的谈判和合同的执行，以我方的名义处理一切与之有关的事宜（相关身份证复印件须附后）。</w:t>
      </w:r>
    </w:p>
    <w:p w14:paraId="2C686F85">
      <w:pPr>
        <w:pStyle w:val="42"/>
        <w:ind w:firstLine="494"/>
        <w:rPr>
          <w:rFonts w:hint="eastAsia" w:ascii="仿宋_GB2312" w:hAnsi="仿宋_GB2312" w:eastAsia="仿宋_GB2312" w:cs="仿宋_GB2312"/>
          <w:color w:val="000000"/>
          <w:sz w:val="24"/>
          <w:szCs w:val="24"/>
          <w:highlight w:val="none"/>
        </w:rPr>
      </w:pPr>
    </w:p>
    <w:p w14:paraId="24623CE5">
      <w:pPr>
        <w:pStyle w:val="42"/>
        <w:ind w:firstLine="494"/>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本委托书于 </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年</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月   日至   年    月   日</w:t>
      </w:r>
      <w:r>
        <w:rPr>
          <w:rFonts w:hint="eastAsia" w:ascii="仿宋_GB2312" w:hAnsi="仿宋_GB2312" w:eastAsia="仿宋_GB2312" w:cs="仿宋_GB2312"/>
          <w:strike w:val="0"/>
          <w:dstrike w:val="0"/>
          <w:color w:val="auto"/>
          <w:sz w:val="24"/>
          <w:szCs w:val="24"/>
          <w:highlight w:val="none"/>
          <w:u w:val="none"/>
          <w:shd w:val="clear" w:fill="auto"/>
        </w:rPr>
        <w:t>签字生效</w:t>
      </w:r>
      <w:r>
        <w:rPr>
          <w:rFonts w:hint="eastAsia" w:ascii="仿宋_GB2312" w:hAnsi="仿宋_GB2312" w:eastAsia="仿宋_GB2312" w:cs="仿宋_GB2312"/>
          <w:color w:val="000000"/>
          <w:sz w:val="24"/>
          <w:szCs w:val="24"/>
          <w:highlight w:val="none"/>
        </w:rPr>
        <w:t>，有效期与</w:t>
      </w:r>
      <w:r>
        <w:rPr>
          <w:rFonts w:hint="eastAsia" w:ascii="仿宋_GB2312" w:hAnsi="仿宋_GB2312" w:eastAsia="仿宋_GB2312" w:cs="仿宋_GB2312"/>
          <w:color w:val="000000"/>
          <w:sz w:val="24"/>
          <w:szCs w:val="24"/>
          <w:highlight w:val="none"/>
          <w:lang w:eastAsia="zh-CN"/>
        </w:rPr>
        <w:t>询价</w:t>
      </w:r>
      <w:r>
        <w:rPr>
          <w:rFonts w:hint="eastAsia" w:ascii="仿宋_GB2312" w:hAnsi="仿宋_GB2312" w:eastAsia="仿宋_GB2312" w:cs="仿宋_GB2312"/>
          <w:color w:val="000000"/>
          <w:sz w:val="24"/>
          <w:szCs w:val="24"/>
          <w:highlight w:val="none"/>
        </w:rPr>
        <w:t>有效期一致，特此声明。</w:t>
      </w:r>
    </w:p>
    <w:p w14:paraId="0277879E">
      <w:pPr>
        <w:pStyle w:val="42"/>
        <w:ind w:firstLine="494"/>
        <w:rPr>
          <w:rFonts w:hint="eastAsia" w:ascii="仿宋_GB2312" w:hAnsi="仿宋_GB2312" w:eastAsia="仿宋_GB2312" w:cs="仿宋_GB2312"/>
          <w:color w:val="000000"/>
          <w:sz w:val="24"/>
          <w:szCs w:val="24"/>
          <w:highlight w:val="none"/>
        </w:rPr>
      </w:pPr>
    </w:p>
    <w:p w14:paraId="0BB850CD">
      <w:pPr>
        <w:pStyle w:val="42"/>
        <w:ind w:right="160"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响应人名称（加盖公章）：</w:t>
      </w:r>
    </w:p>
    <w:p w14:paraId="69FB3891">
      <w:pPr>
        <w:pStyle w:val="42"/>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响应人地址：</w:t>
      </w:r>
    </w:p>
    <w:p w14:paraId="1EF4BC94">
      <w:pPr>
        <w:pStyle w:val="42"/>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法定代表人（签字或盖章）：</w:t>
      </w:r>
    </w:p>
    <w:p w14:paraId="656FB299">
      <w:pPr>
        <w:pStyle w:val="42"/>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职务：</w:t>
      </w:r>
    </w:p>
    <w:p w14:paraId="5B41FB35">
      <w:pPr>
        <w:pStyle w:val="42"/>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受委托人（签字或盖章）：</w:t>
      </w:r>
    </w:p>
    <w:p w14:paraId="31E07BA3">
      <w:pPr>
        <w:pStyle w:val="42"/>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职务：</w:t>
      </w:r>
    </w:p>
    <w:p w14:paraId="524A161B">
      <w:pPr>
        <w:pStyle w:val="42"/>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日期：</w:t>
      </w:r>
    </w:p>
    <w:bookmarkEnd w:id="3"/>
    <w:p w14:paraId="07C08587">
      <w:pPr>
        <w:pStyle w:val="43"/>
        <w:ind w:firstLine="0" w:firstLineChars="0"/>
        <w:jc w:val="left"/>
        <w:outlineLvl w:val="1"/>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br w:type="page"/>
      </w:r>
      <w:r>
        <w:rPr>
          <w:rFonts w:hint="eastAsia" w:ascii="仿宋_GB2312" w:hAnsi="仿宋_GB2312" w:eastAsia="仿宋_GB2312" w:cs="仿宋_GB2312"/>
          <w:color w:val="000000"/>
          <w:sz w:val="24"/>
          <w:szCs w:val="24"/>
          <w:highlight w:val="none"/>
        </w:rPr>
        <w:t>附件</w:t>
      </w:r>
      <w:r>
        <w:rPr>
          <w:rFonts w:hint="eastAsia" w:ascii="仿宋_GB2312" w:hAnsi="仿宋_GB2312" w:eastAsia="仿宋_GB2312" w:cs="仿宋_GB2312"/>
          <w:color w:val="000000"/>
          <w:sz w:val="24"/>
          <w:szCs w:val="24"/>
          <w:highlight w:val="none"/>
          <w:lang w:val="en-US" w:eastAsia="zh-CN"/>
        </w:rPr>
        <w:t>四</w:t>
      </w:r>
      <w:r>
        <w:rPr>
          <w:rFonts w:hint="eastAsia" w:ascii="仿宋_GB2312" w:hAnsi="仿宋_GB2312" w:eastAsia="仿宋_GB2312" w:cs="仿宋_GB2312"/>
          <w:color w:val="000000"/>
          <w:sz w:val="24"/>
          <w:szCs w:val="24"/>
          <w:highlight w:val="none"/>
        </w:rPr>
        <w:t>承诺函</w:t>
      </w:r>
    </w:p>
    <w:p w14:paraId="2D5250C2">
      <w:pPr>
        <w:pStyle w:val="43"/>
        <w:ind w:firstLine="0" w:firstLineChars="0"/>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承诺函</w:t>
      </w:r>
    </w:p>
    <w:p w14:paraId="08065AAA">
      <w:pPr>
        <w:pStyle w:val="43"/>
        <w:ind w:firstLine="0" w:firstLineChars="0"/>
        <w:jc w:val="center"/>
        <w:rPr>
          <w:rFonts w:hint="eastAsia" w:ascii="仿宋_GB2312" w:hAnsi="仿宋_GB2312" w:eastAsia="仿宋_GB2312" w:cs="仿宋_GB2312"/>
          <w:b/>
          <w:color w:val="000000"/>
          <w:sz w:val="24"/>
          <w:szCs w:val="24"/>
          <w:highlight w:val="none"/>
        </w:rPr>
      </w:pPr>
    </w:p>
    <w:p w14:paraId="1D7E9B33">
      <w:pPr>
        <w:pStyle w:val="43"/>
        <w:ind w:firstLine="0" w:firstLineChars="0"/>
        <w:jc w:val="center"/>
        <w:rPr>
          <w:rFonts w:hint="eastAsia" w:ascii="仿宋_GB2312" w:hAnsi="仿宋_GB2312" w:eastAsia="仿宋_GB2312" w:cs="仿宋_GB2312"/>
          <w:b/>
          <w:color w:val="000000"/>
          <w:sz w:val="24"/>
          <w:szCs w:val="24"/>
          <w:highlight w:val="none"/>
        </w:rPr>
      </w:pPr>
    </w:p>
    <w:p w14:paraId="70A08A55">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u w:val="single"/>
        </w:rPr>
        <w:t>东莞市大学创新城建设发展有限公司</w:t>
      </w:r>
      <w:r>
        <w:rPr>
          <w:rFonts w:hint="eastAsia" w:ascii="仿宋_GB2312" w:hAnsi="仿宋_GB2312" w:eastAsia="仿宋_GB2312" w:cs="仿宋_GB2312"/>
          <w:color w:val="000000"/>
          <w:sz w:val="24"/>
          <w:szCs w:val="24"/>
          <w:highlight w:val="none"/>
        </w:rPr>
        <w:t>：</w:t>
      </w:r>
    </w:p>
    <w:p w14:paraId="0D095AFB">
      <w:pPr>
        <w:pStyle w:val="42"/>
        <w:ind w:firstLine="640" w:firstLineChars="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我司就参加</w:t>
      </w:r>
      <w:r>
        <w:rPr>
          <w:rFonts w:hint="eastAsia" w:hAnsi="仿宋_GB2312" w:cs="仿宋_GB2312"/>
          <w:color w:val="000000"/>
          <w:sz w:val="24"/>
          <w:szCs w:val="24"/>
          <w:highlight w:val="none"/>
          <w:u w:val="single"/>
          <w:lang w:val="en-US" w:eastAsia="zh-CN"/>
        </w:rPr>
        <w:t>松山湖国际创新创业社区G4栋10楼装修项目监理服务</w:t>
      </w:r>
      <w:r>
        <w:rPr>
          <w:rFonts w:hint="eastAsia" w:ascii="仿宋_GB2312" w:hAnsi="仿宋_GB2312" w:eastAsia="仿宋_GB2312" w:cs="仿宋_GB2312"/>
          <w:color w:val="000000"/>
          <w:sz w:val="24"/>
          <w:szCs w:val="24"/>
          <w:highlight w:val="none"/>
        </w:rPr>
        <w:t>项目</w:t>
      </w:r>
      <w:r>
        <w:rPr>
          <w:rFonts w:hint="eastAsia" w:ascii="仿宋_GB2312" w:hAnsi="仿宋_GB2312" w:eastAsia="仿宋_GB2312" w:cs="仿宋_GB2312"/>
          <w:strike w:val="0"/>
          <w:dstrike w:val="0"/>
          <w:color w:val="auto"/>
          <w:sz w:val="24"/>
          <w:szCs w:val="24"/>
          <w:highlight w:val="none"/>
          <w:u w:val="none"/>
          <w:shd w:val="clear" w:fill="auto"/>
        </w:rPr>
        <w:t>投标</w:t>
      </w:r>
      <w:r>
        <w:rPr>
          <w:rFonts w:hint="eastAsia" w:ascii="仿宋_GB2312" w:hAnsi="仿宋_GB2312" w:eastAsia="仿宋_GB2312" w:cs="仿宋_GB2312"/>
          <w:color w:val="000000"/>
          <w:sz w:val="24"/>
          <w:szCs w:val="24"/>
          <w:highlight w:val="none"/>
        </w:rPr>
        <w:t>工作，作出以下承诺：</w:t>
      </w:r>
    </w:p>
    <w:p w14:paraId="5BF4BB3C">
      <w:pPr>
        <w:pStyle w:val="42"/>
        <w:ind w:firstLine="494"/>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我公司已充分了解采购项目情况，本次报价完全响应</w:t>
      </w:r>
      <w:r>
        <w:rPr>
          <w:rFonts w:hint="eastAsia" w:ascii="仿宋_GB2312" w:hAnsi="仿宋_GB2312" w:eastAsia="仿宋_GB2312" w:cs="仿宋_GB2312"/>
          <w:color w:val="000000"/>
          <w:sz w:val="24"/>
          <w:szCs w:val="24"/>
          <w:highlight w:val="none"/>
          <w:lang w:eastAsia="zh-CN"/>
        </w:rPr>
        <w:t>询价</w:t>
      </w:r>
      <w:r>
        <w:rPr>
          <w:rFonts w:hint="eastAsia" w:ascii="仿宋_GB2312" w:hAnsi="仿宋_GB2312" w:eastAsia="仿宋_GB2312" w:cs="仿宋_GB2312"/>
          <w:color w:val="000000"/>
          <w:sz w:val="24"/>
          <w:szCs w:val="24"/>
          <w:highlight w:val="none"/>
        </w:rPr>
        <w:t>文件的要求，我公司所提供的</w:t>
      </w:r>
      <w:r>
        <w:rPr>
          <w:rFonts w:hint="eastAsia" w:ascii="仿宋_GB2312" w:hAnsi="仿宋_GB2312" w:eastAsia="仿宋_GB2312" w:cs="仿宋_GB2312"/>
          <w:color w:val="000000"/>
          <w:sz w:val="24"/>
          <w:szCs w:val="24"/>
          <w:highlight w:val="none"/>
          <w:u w:val="single"/>
          <w:lang w:val="en-US" w:eastAsia="zh-CN"/>
        </w:rPr>
        <w:t>服务及报价方案</w:t>
      </w:r>
      <w:r>
        <w:rPr>
          <w:rFonts w:hint="eastAsia" w:ascii="仿宋_GB2312" w:hAnsi="仿宋_GB2312" w:eastAsia="仿宋_GB2312" w:cs="仿宋_GB2312"/>
          <w:color w:val="000000"/>
          <w:sz w:val="24"/>
          <w:szCs w:val="24"/>
          <w:highlight w:val="none"/>
        </w:rPr>
        <w:t>等于或优于采购人需求，并承诺如不满足采购人需求，采购人有权取消合同并进行违约处罚。</w:t>
      </w:r>
    </w:p>
    <w:p w14:paraId="4611E6ED">
      <w:pPr>
        <w:jc w:val="left"/>
        <w:rPr>
          <w:rFonts w:hint="eastAsia" w:ascii="仿宋_GB2312" w:hAnsi="仿宋_GB2312" w:eastAsia="仿宋_GB2312" w:cs="仿宋_GB2312"/>
          <w:color w:val="000000"/>
          <w:sz w:val="24"/>
          <w:szCs w:val="24"/>
          <w:highlight w:val="none"/>
        </w:rPr>
      </w:pPr>
    </w:p>
    <w:p w14:paraId="1BB7E73E">
      <w:pPr>
        <w:jc w:val="left"/>
        <w:rPr>
          <w:rFonts w:hint="eastAsia" w:ascii="仿宋_GB2312" w:hAnsi="仿宋_GB2312" w:eastAsia="仿宋_GB2312" w:cs="仿宋_GB2312"/>
          <w:color w:val="000000"/>
          <w:sz w:val="24"/>
          <w:szCs w:val="24"/>
          <w:highlight w:val="none"/>
        </w:rPr>
      </w:pPr>
    </w:p>
    <w:p w14:paraId="712DCED6">
      <w:pPr>
        <w:jc w:val="left"/>
        <w:rPr>
          <w:rFonts w:hint="eastAsia" w:ascii="仿宋_GB2312" w:hAnsi="仿宋_GB2312" w:eastAsia="仿宋_GB2312" w:cs="仿宋_GB2312"/>
          <w:color w:val="000000"/>
          <w:sz w:val="24"/>
          <w:szCs w:val="24"/>
          <w:highlight w:val="none"/>
        </w:rPr>
      </w:pPr>
    </w:p>
    <w:p w14:paraId="21DE61CA">
      <w:pPr>
        <w:pStyle w:val="42"/>
        <w:ind w:right="160"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响应人名称（加盖公章）：</w:t>
      </w:r>
    </w:p>
    <w:p w14:paraId="7FD8F464">
      <w:pPr>
        <w:pStyle w:val="42"/>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响应人地址：</w:t>
      </w:r>
    </w:p>
    <w:p w14:paraId="2D5DF8A5">
      <w:pPr>
        <w:pStyle w:val="42"/>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法定代表人（签字或盖章）：</w:t>
      </w:r>
    </w:p>
    <w:p w14:paraId="42AB70C2">
      <w:pPr>
        <w:pStyle w:val="42"/>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职务：</w:t>
      </w:r>
    </w:p>
    <w:p w14:paraId="13C250CA">
      <w:pPr>
        <w:pStyle w:val="42"/>
        <w:ind w:firstLine="0" w:firstLine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日期：</w:t>
      </w:r>
    </w:p>
    <w:p w14:paraId="3E03F7DE">
      <w:pPr>
        <w:pStyle w:val="42"/>
        <w:ind w:firstLine="0" w:firstLineChars="0"/>
        <w:jc w:val="left"/>
        <w:rPr>
          <w:rFonts w:hint="eastAsia" w:ascii="仿宋_GB2312" w:hAnsi="仿宋_GB2312" w:eastAsia="仿宋_GB2312" w:cs="仿宋_GB2312"/>
          <w:color w:val="000000"/>
          <w:sz w:val="24"/>
          <w:szCs w:val="24"/>
          <w:highlight w:val="none"/>
        </w:rPr>
      </w:pPr>
    </w:p>
    <w:p w14:paraId="186876A2">
      <w:pPr>
        <w:pStyle w:val="42"/>
        <w:ind w:firstLine="0" w:firstLineChars="0"/>
        <w:jc w:val="left"/>
        <w:rPr>
          <w:rFonts w:hint="eastAsia" w:ascii="仿宋_GB2312" w:hAnsi="仿宋_GB2312" w:eastAsia="仿宋_GB2312" w:cs="仿宋_GB2312"/>
          <w:color w:val="000000"/>
          <w:sz w:val="24"/>
          <w:szCs w:val="24"/>
          <w:highlight w:val="none"/>
        </w:rPr>
      </w:pPr>
    </w:p>
    <w:p w14:paraId="7DE8E1ED">
      <w:pPr>
        <w:rPr>
          <w:rFonts w:hint="eastAsia" w:ascii="仿宋_GB2312" w:hAnsi="仿宋_GB2312" w:eastAsia="仿宋_GB2312" w:cs="仿宋_GB2312"/>
          <w:color w:val="000000"/>
          <w:sz w:val="24"/>
          <w:szCs w:val="24"/>
          <w:highlight w:val="none"/>
        </w:rPr>
      </w:pPr>
    </w:p>
    <w:p w14:paraId="3993C805">
      <w:pPr>
        <w:widowControl/>
        <w:jc w:val="left"/>
        <w:rPr>
          <w:rFonts w:hint="eastAsia" w:ascii="仿宋_GB2312" w:hAnsi="仿宋_GB2312" w:eastAsia="仿宋_GB2312" w:cs="仿宋_GB2312"/>
          <w:color w:val="000000"/>
          <w:sz w:val="24"/>
          <w:szCs w:val="24"/>
          <w:highlight w:val="none"/>
        </w:rPr>
      </w:pPr>
    </w:p>
    <w:p w14:paraId="1FDD0B90">
      <w:pPr>
        <w:widowControl/>
        <w:jc w:val="left"/>
        <w:rPr>
          <w:rFonts w:hint="eastAsia" w:ascii="仿宋_GB2312" w:hAnsi="仿宋_GB2312" w:eastAsia="仿宋_GB2312" w:cs="仿宋_GB2312"/>
          <w:color w:val="000000"/>
          <w:sz w:val="24"/>
          <w:szCs w:val="24"/>
          <w:highlight w:val="none"/>
        </w:rPr>
      </w:pPr>
    </w:p>
    <w:p w14:paraId="49BE259A">
      <w:pPr>
        <w:pStyle w:val="6"/>
        <w:rPr>
          <w:rFonts w:hint="eastAsia" w:ascii="仿宋_GB2312" w:hAnsi="仿宋_GB2312" w:eastAsia="仿宋_GB2312" w:cs="仿宋_GB2312"/>
          <w:highlight w:val="none"/>
          <w:lang w:val="en-US" w:eastAsia="zh-CN"/>
        </w:rPr>
      </w:pPr>
      <w:bookmarkStart w:id="4" w:name="_Hlk40704598"/>
      <w:r>
        <w:rPr>
          <w:rFonts w:hint="eastAsia" w:ascii="仿宋_GB2312" w:hAnsi="仿宋_GB2312" w:eastAsia="仿宋_GB2312" w:cs="仿宋_GB2312"/>
          <w:color w:val="000000"/>
          <w:sz w:val="24"/>
          <w:szCs w:val="24"/>
          <w:highlight w:val="none"/>
        </w:rPr>
        <w:br w:type="page"/>
      </w:r>
      <w:bookmarkEnd w:id="1"/>
      <w:bookmarkEnd w:id="4"/>
    </w:p>
    <w:p w14:paraId="6FD76ECB">
      <w:pPr>
        <w:spacing w:line="360" w:lineRule="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28"/>
          <w:szCs w:val="44"/>
          <w:highlight w:val="none"/>
        </w:rPr>
        <w:t>附件</w:t>
      </w:r>
      <w:r>
        <w:rPr>
          <w:rFonts w:hint="eastAsia" w:ascii="仿宋_GB2312" w:hAnsi="仿宋_GB2312" w:eastAsia="仿宋_GB2312" w:cs="仿宋_GB2312"/>
          <w:color w:val="000000"/>
          <w:sz w:val="28"/>
          <w:szCs w:val="44"/>
          <w:highlight w:val="none"/>
          <w:lang w:val="en-US" w:eastAsia="zh-CN"/>
        </w:rPr>
        <w:t>五</w:t>
      </w:r>
      <w:r>
        <w:rPr>
          <w:rFonts w:hint="eastAsia" w:ascii="仿宋_GB2312" w:hAnsi="仿宋_GB2312" w:eastAsia="仿宋_GB2312" w:cs="仿宋_GB2312"/>
          <w:color w:val="000000"/>
          <w:sz w:val="28"/>
          <w:szCs w:val="44"/>
          <w:highlight w:val="none"/>
        </w:rPr>
        <w:t>：合同文本（仅供参考）</w:t>
      </w:r>
    </w:p>
    <w:p w14:paraId="27E6339C">
      <w:pPr>
        <w:spacing w:line="360" w:lineRule="auto"/>
        <w:jc w:val="center"/>
        <w:rPr>
          <w:rFonts w:hint="eastAsia" w:asciiTheme="minorEastAsia" w:hAnsiTheme="minorEastAsia" w:eastAsiaTheme="minorEastAsia" w:cstheme="minorEastAsia"/>
          <w:bCs/>
          <w:sz w:val="24"/>
          <w:highlight w:val="none"/>
        </w:rPr>
      </w:pPr>
      <w:r>
        <w:rPr>
          <w:rFonts w:hint="eastAsia" w:ascii="宋体" w:hAnsi="宋体"/>
          <w:b/>
          <w:bCs/>
          <w:sz w:val="52"/>
          <w:szCs w:val="52"/>
          <w:highlight w:val="none"/>
        </w:rPr>
        <w:t>建设工程监理合同</w:t>
      </w:r>
    </w:p>
    <w:p w14:paraId="3379A307">
      <w:pPr>
        <w:spacing w:line="360" w:lineRule="auto"/>
        <w:jc w:val="center"/>
        <w:rPr>
          <w:rFonts w:hint="eastAsia" w:asciiTheme="minorEastAsia" w:hAnsiTheme="minorEastAsia" w:eastAsiaTheme="minorEastAsia" w:cstheme="minorEastAsia"/>
          <w:b/>
          <w:bCs/>
          <w:sz w:val="24"/>
          <w:highlight w:val="none"/>
        </w:rPr>
      </w:pPr>
    </w:p>
    <w:p w14:paraId="27421C72">
      <w:pPr>
        <w:spacing w:line="360" w:lineRule="auto"/>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kern w:val="0"/>
          <w:sz w:val="32"/>
          <w:szCs w:val="32"/>
          <w:highlight w:val="none"/>
        </w:rPr>
        <w:t>（松山湖国际创新创业社区G4栋10楼装修项目监理服务</w:t>
      </w:r>
      <w:r>
        <w:rPr>
          <w:rFonts w:hint="eastAsia" w:asciiTheme="minorEastAsia" w:hAnsiTheme="minorEastAsia" w:eastAsiaTheme="minorEastAsia" w:cstheme="minorEastAsia"/>
          <w:kern w:val="0"/>
          <w:sz w:val="32"/>
          <w:szCs w:val="32"/>
          <w:highlight w:val="none"/>
          <w:lang w:val="en-US" w:eastAsia="zh-CN"/>
        </w:rPr>
        <w:t>合同</w:t>
      </w:r>
      <w:r>
        <w:rPr>
          <w:rFonts w:hint="eastAsia" w:asciiTheme="minorEastAsia" w:hAnsiTheme="minorEastAsia" w:eastAsiaTheme="minorEastAsia" w:cstheme="minorEastAsia"/>
          <w:kern w:val="0"/>
          <w:sz w:val="32"/>
          <w:szCs w:val="32"/>
          <w:highlight w:val="none"/>
        </w:rPr>
        <w:t>）</w:t>
      </w:r>
    </w:p>
    <w:p w14:paraId="38447BB1">
      <w:pPr>
        <w:spacing w:line="360" w:lineRule="auto"/>
        <w:jc w:val="center"/>
        <w:rPr>
          <w:rFonts w:hint="eastAsia" w:asciiTheme="minorEastAsia" w:hAnsiTheme="minorEastAsia" w:eastAsiaTheme="minorEastAsia" w:cstheme="minorEastAsia"/>
          <w:b/>
          <w:bCs/>
          <w:sz w:val="24"/>
          <w:highlight w:val="none"/>
        </w:rPr>
      </w:pPr>
    </w:p>
    <w:p w14:paraId="7B31D77F">
      <w:pPr>
        <w:spacing w:line="360" w:lineRule="auto"/>
        <w:jc w:val="center"/>
        <w:rPr>
          <w:rFonts w:hint="eastAsia" w:asciiTheme="minorEastAsia" w:hAnsiTheme="minorEastAsia" w:eastAsiaTheme="minorEastAsia" w:cstheme="minorEastAsia"/>
          <w:b/>
          <w:bCs/>
          <w:sz w:val="24"/>
          <w:highlight w:val="none"/>
        </w:rPr>
      </w:pPr>
    </w:p>
    <w:p w14:paraId="12795654">
      <w:pPr>
        <w:spacing w:line="360" w:lineRule="auto"/>
        <w:jc w:val="center"/>
        <w:rPr>
          <w:rFonts w:hint="eastAsia" w:asciiTheme="minorEastAsia" w:hAnsiTheme="minorEastAsia" w:eastAsiaTheme="minorEastAsia" w:cstheme="minorEastAsia"/>
          <w:b/>
          <w:bCs/>
          <w:sz w:val="24"/>
          <w:highlight w:val="none"/>
        </w:rPr>
      </w:pPr>
    </w:p>
    <w:p w14:paraId="3D317BB6">
      <w:pPr>
        <w:spacing w:line="360" w:lineRule="auto"/>
        <w:jc w:val="center"/>
        <w:rPr>
          <w:rFonts w:hint="eastAsia" w:asciiTheme="minorEastAsia" w:hAnsiTheme="minorEastAsia" w:eastAsiaTheme="minorEastAsia" w:cstheme="minorEastAsia"/>
          <w:b/>
          <w:bCs/>
          <w:sz w:val="24"/>
          <w:highlight w:val="none"/>
        </w:rPr>
      </w:pPr>
    </w:p>
    <w:p w14:paraId="571DB4DC">
      <w:pPr>
        <w:spacing w:line="360" w:lineRule="auto"/>
        <w:jc w:val="center"/>
        <w:rPr>
          <w:rFonts w:hint="eastAsia" w:asciiTheme="minorEastAsia" w:hAnsiTheme="minorEastAsia" w:eastAsiaTheme="minorEastAsia" w:cstheme="minorEastAsia"/>
          <w:b/>
          <w:bCs/>
          <w:sz w:val="24"/>
          <w:highlight w:val="none"/>
        </w:rPr>
      </w:pPr>
    </w:p>
    <w:p w14:paraId="5ECD8B68">
      <w:pPr>
        <w:pStyle w:val="2"/>
        <w:rPr>
          <w:rFonts w:hint="eastAsia"/>
          <w:highlight w:val="none"/>
        </w:rPr>
      </w:pPr>
    </w:p>
    <w:p w14:paraId="01517A74">
      <w:pPr>
        <w:spacing w:line="360" w:lineRule="auto"/>
        <w:jc w:val="center"/>
        <w:rPr>
          <w:rFonts w:hint="eastAsia" w:asciiTheme="minorEastAsia" w:hAnsiTheme="minorEastAsia" w:eastAsiaTheme="minorEastAsia" w:cstheme="minorEastAsia"/>
          <w:b/>
          <w:bCs/>
          <w:sz w:val="24"/>
          <w:highlight w:val="none"/>
        </w:rPr>
      </w:pPr>
    </w:p>
    <w:p w14:paraId="4296B2E6">
      <w:pPr>
        <w:widowControl/>
        <w:adjustRightInd w:val="0"/>
        <w:snapToGrid w:val="0"/>
        <w:spacing w:line="360" w:lineRule="auto"/>
        <w:jc w:val="center"/>
        <w:outlineLvl w:val="1"/>
        <w:rPr>
          <w:rFonts w:hint="eastAsia" w:asciiTheme="minorEastAsia" w:hAnsiTheme="minorEastAsia" w:eastAsiaTheme="minorEastAsia" w:cstheme="minorEastAsia"/>
          <w:b/>
          <w:kern w:val="0"/>
          <w:sz w:val="24"/>
          <w:highlight w:val="none"/>
        </w:rPr>
      </w:pPr>
    </w:p>
    <w:p w14:paraId="7D3AFCE3">
      <w:pPr>
        <w:pStyle w:val="2"/>
        <w:spacing w:line="360" w:lineRule="auto"/>
        <w:rPr>
          <w:rFonts w:hint="eastAsia" w:asciiTheme="minorEastAsia" w:hAnsiTheme="minorEastAsia" w:eastAsiaTheme="minorEastAsia" w:cstheme="minorEastAsia"/>
          <w:highlight w:val="none"/>
          <w:lang w:val="en-US" w:bidi="ar-SA"/>
        </w:rPr>
      </w:pPr>
    </w:p>
    <w:p w14:paraId="46A8FB4F">
      <w:pPr>
        <w:pStyle w:val="3"/>
        <w:ind w:firstLine="240"/>
        <w:rPr>
          <w:rFonts w:hint="eastAsia" w:asciiTheme="minorEastAsia" w:hAnsiTheme="minorEastAsia" w:eastAsiaTheme="minorEastAsia" w:cstheme="minorEastAsia"/>
          <w:szCs w:val="24"/>
          <w:highlight w:val="none"/>
          <w:lang w:val="en-US" w:bidi="ar-SA"/>
        </w:rPr>
      </w:pPr>
    </w:p>
    <w:p w14:paraId="6EA8252F">
      <w:pPr>
        <w:pStyle w:val="3"/>
        <w:ind w:firstLine="240"/>
        <w:rPr>
          <w:rFonts w:hint="eastAsia" w:asciiTheme="minorEastAsia" w:hAnsiTheme="minorEastAsia" w:eastAsiaTheme="minorEastAsia" w:cstheme="minorEastAsia"/>
          <w:szCs w:val="24"/>
          <w:highlight w:val="none"/>
          <w:lang w:val="en-US" w:bidi="ar-SA"/>
        </w:rPr>
      </w:pPr>
    </w:p>
    <w:p w14:paraId="5D21DC0F">
      <w:pPr>
        <w:pStyle w:val="3"/>
        <w:ind w:firstLine="630" w:firstLineChars="300"/>
        <w:rPr>
          <w:rFonts w:hint="eastAsia" w:asciiTheme="minorEastAsia" w:hAnsiTheme="minorEastAsia" w:eastAsiaTheme="minorEastAsia" w:cstheme="minorEastAsia"/>
          <w:szCs w:val="24"/>
          <w:highlight w:val="none"/>
          <w:lang w:val="en-US" w:bidi="ar-SA"/>
        </w:rPr>
      </w:pPr>
      <w:r>
        <w:rPr>
          <w:rFonts w:hint="eastAsia" w:asciiTheme="minorEastAsia" w:hAnsiTheme="minorEastAsia" w:eastAsiaTheme="minorEastAsia" w:cstheme="minorEastAsia"/>
          <w:kern w:val="0"/>
          <w:szCs w:val="24"/>
          <w:highlight w:val="none"/>
        </w:rPr>
        <w:t xml:space="preserve">采购人： </w:t>
      </w:r>
      <w:r>
        <w:rPr>
          <w:rFonts w:hint="eastAsia" w:asciiTheme="minorEastAsia" w:hAnsiTheme="minorEastAsia" w:eastAsiaTheme="minorEastAsia" w:cstheme="minorEastAsia"/>
          <w:b/>
          <w:kern w:val="0"/>
          <w:szCs w:val="24"/>
          <w:highlight w:val="none"/>
          <w:u w:val="single"/>
        </w:rPr>
        <w:t xml:space="preserve">东莞市大学创新城建设发展有限公司 </w:t>
      </w:r>
    </w:p>
    <w:p w14:paraId="3A02B554">
      <w:pPr>
        <w:pStyle w:val="2"/>
        <w:spacing w:line="360" w:lineRule="auto"/>
        <w:ind w:firstLine="630" w:firstLineChars="300"/>
        <w:rPr>
          <w:rFonts w:hint="eastAsia" w:asciiTheme="minorEastAsia" w:hAnsiTheme="minorEastAsia" w:eastAsiaTheme="minorEastAsia" w:cstheme="minorEastAsia"/>
          <w:highlight w:val="none"/>
          <w:lang w:val="en-US" w:bidi="ar-SA"/>
        </w:rPr>
      </w:pPr>
      <w:r>
        <w:rPr>
          <w:rFonts w:hint="eastAsia" w:asciiTheme="minorEastAsia" w:hAnsiTheme="minorEastAsia" w:eastAsiaTheme="minorEastAsia" w:cstheme="minorEastAsia"/>
          <w:kern w:val="0"/>
          <w:highlight w:val="none"/>
        </w:rPr>
        <w:t xml:space="preserve">监理人： </w:t>
      </w:r>
      <w:r>
        <w:rPr>
          <w:rFonts w:hint="eastAsia" w:asciiTheme="minorEastAsia" w:hAnsiTheme="minorEastAsia" w:eastAsiaTheme="minorEastAsia" w:cstheme="minorEastAsia"/>
          <w:b/>
          <w:kern w:val="0"/>
          <w:highlight w:val="none"/>
          <w:u w:val="single"/>
          <w:lang w:val="en-US" w:eastAsia="zh-CN"/>
        </w:rPr>
        <w:t xml:space="preserve">                               </w:t>
      </w:r>
      <w:r>
        <w:rPr>
          <w:rFonts w:hint="eastAsia" w:asciiTheme="minorEastAsia" w:hAnsiTheme="minorEastAsia" w:eastAsiaTheme="minorEastAsia" w:cstheme="minorEastAsia"/>
          <w:b/>
          <w:kern w:val="0"/>
          <w:highlight w:val="none"/>
          <w:u w:val="single"/>
        </w:rPr>
        <w:t xml:space="preserve"> </w:t>
      </w:r>
    </w:p>
    <w:p w14:paraId="35288EB6">
      <w:pPr>
        <w:pStyle w:val="3"/>
        <w:ind w:firstLine="240"/>
        <w:rPr>
          <w:rFonts w:hint="eastAsia"/>
          <w:highlight w:val="none"/>
          <w:lang w:val="en-US"/>
        </w:rPr>
      </w:pPr>
    </w:p>
    <w:p w14:paraId="0EB05F93">
      <w:pPr>
        <w:widowControl/>
        <w:adjustRightInd w:val="0"/>
        <w:snapToGrid w:val="0"/>
        <w:spacing w:line="360" w:lineRule="auto"/>
        <w:jc w:val="center"/>
        <w:outlineLvl w:val="1"/>
        <w:rPr>
          <w:rFonts w:hint="eastAsia" w:asciiTheme="minorEastAsia" w:hAnsiTheme="minorEastAsia" w:eastAsiaTheme="minorEastAsia" w:cstheme="minorEastAsia"/>
          <w:b/>
          <w:bCs/>
          <w:kern w:val="0"/>
          <w:sz w:val="24"/>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783BFD6">
      <w:pPr>
        <w:widowControl/>
        <w:adjustRightInd w:val="0"/>
        <w:snapToGrid w:val="0"/>
        <w:spacing w:line="360" w:lineRule="auto"/>
        <w:jc w:val="center"/>
        <w:outlineLvl w:val="1"/>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bCs/>
          <w:kern w:val="0"/>
          <w:sz w:val="21"/>
          <w:szCs w:val="16"/>
          <w:highlight w:val="none"/>
        </w:rPr>
        <w:t>建设工程委托监理合同</w:t>
      </w:r>
    </w:p>
    <w:p w14:paraId="63DE7AE4">
      <w:pPr>
        <w:widowControl/>
        <w:adjustRightInd w:val="0"/>
        <w:snapToGrid w:val="0"/>
        <w:spacing w:line="360" w:lineRule="auto"/>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 xml:space="preserve">　　采购人 </w:t>
      </w:r>
      <w:r>
        <w:rPr>
          <w:rFonts w:hint="eastAsia" w:asciiTheme="minorEastAsia" w:hAnsiTheme="minorEastAsia" w:eastAsiaTheme="minorEastAsia" w:cstheme="minorEastAsia"/>
          <w:b/>
          <w:kern w:val="0"/>
          <w:sz w:val="21"/>
          <w:szCs w:val="16"/>
          <w:highlight w:val="none"/>
          <w:u w:val="single"/>
        </w:rPr>
        <w:t xml:space="preserve">东莞市大学创新城建设发展有限公司 </w:t>
      </w:r>
      <w:r>
        <w:rPr>
          <w:rFonts w:hint="eastAsia" w:asciiTheme="minorEastAsia" w:hAnsiTheme="minorEastAsia" w:eastAsiaTheme="minorEastAsia" w:cstheme="minorEastAsia"/>
          <w:kern w:val="0"/>
          <w:sz w:val="21"/>
          <w:szCs w:val="16"/>
          <w:highlight w:val="none"/>
        </w:rPr>
        <w:t>与监理人</w:t>
      </w:r>
      <w:r>
        <w:rPr>
          <w:rFonts w:hint="eastAsia" w:asciiTheme="minorEastAsia" w:hAnsiTheme="minorEastAsia" w:eastAsiaTheme="minorEastAsia" w:cstheme="minorEastAsia"/>
          <w:b/>
          <w:kern w:val="0"/>
          <w:sz w:val="21"/>
          <w:szCs w:val="16"/>
          <w:highlight w:val="none"/>
          <w:u w:val="single"/>
          <w:lang w:val="en-US" w:eastAsia="zh-CN"/>
        </w:rPr>
        <w:t xml:space="preserve">           </w:t>
      </w:r>
      <w:r>
        <w:rPr>
          <w:rFonts w:hint="eastAsia" w:asciiTheme="minorEastAsia" w:hAnsiTheme="minorEastAsia" w:eastAsiaTheme="minorEastAsia" w:cstheme="minorEastAsia"/>
          <w:b/>
          <w:kern w:val="0"/>
          <w:sz w:val="21"/>
          <w:szCs w:val="16"/>
          <w:highlight w:val="none"/>
          <w:u w:val="single"/>
        </w:rPr>
        <w:t xml:space="preserve"> </w:t>
      </w:r>
      <w:r>
        <w:rPr>
          <w:rFonts w:hint="eastAsia" w:asciiTheme="minorEastAsia" w:hAnsiTheme="minorEastAsia" w:eastAsiaTheme="minorEastAsia" w:cstheme="minorEastAsia"/>
          <w:kern w:val="0"/>
          <w:sz w:val="21"/>
          <w:szCs w:val="16"/>
          <w:highlight w:val="none"/>
        </w:rPr>
        <w:t>经双方协商一致，签订本合同。</w:t>
      </w:r>
    </w:p>
    <w:p w14:paraId="4F1C5D1C">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一、采购人委托监理人监理的工程（以下</w:t>
      </w:r>
      <w:r>
        <w:rPr>
          <w:rFonts w:hint="eastAsia" w:asciiTheme="minorEastAsia" w:hAnsiTheme="minorEastAsia" w:eastAsiaTheme="minorEastAsia" w:cstheme="minorEastAsia"/>
          <w:strike w:val="0"/>
          <w:dstrike w:val="0"/>
          <w:color w:val="auto"/>
          <w:kern w:val="0"/>
          <w:sz w:val="21"/>
          <w:szCs w:val="16"/>
          <w:highlight w:val="none"/>
          <w:u w:val="none"/>
          <w:shd w:val="clear" w:fill="auto"/>
        </w:rPr>
        <w:t>筒</w:t>
      </w:r>
      <w:r>
        <w:rPr>
          <w:rFonts w:hint="eastAsia" w:asciiTheme="minorEastAsia" w:hAnsiTheme="minorEastAsia" w:eastAsiaTheme="minorEastAsia" w:cstheme="minorEastAsia"/>
          <w:kern w:val="0"/>
          <w:sz w:val="21"/>
          <w:szCs w:val="16"/>
          <w:highlight w:val="none"/>
        </w:rPr>
        <w:t>称“本工程”）概况如下：</w:t>
      </w:r>
    </w:p>
    <w:p w14:paraId="371D5098">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u w:val="single"/>
        </w:rPr>
      </w:pPr>
      <w:r>
        <w:rPr>
          <w:rFonts w:hint="eastAsia" w:asciiTheme="minorEastAsia" w:hAnsiTheme="minorEastAsia" w:eastAsiaTheme="minorEastAsia" w:cstheme="minorEastAsia"/>
          <w:kern w:val="0"/>
          <w:sz w:val="21"/>
          <w:szCs w:val="16"/>
          <w:highlight w:val="none"/>
        </w:rPr>
        <w:t>工程名称：</w:t>
      </w:r>
      <w:r>
        <w:rPr>
          <w:rFonts w:hint="eastAsia" w:hAnsi="仿宋_GB2312" w:cs="仿宋_GB2312"/>
          <w:color w:val="000000"/>
          <w:sz w:val="21"/>
          <w:szCs w:val="21"/>
          <w:highlight w:val="none"/>
          <w:u w:val="single"/>
          <w:lang w:val="en-US" w:eastAsia="zh-CN"/>
        </w:rPr>
        <w:t>松山湖国际创新创业社区G4栋10楼装修项目监理服务</w:t>
      </w:r>
      <w:r>
        <w:rPr>
          <w:rFonts w:hint="eastAsia" w:asciiTheme="minorEastAsia" w:hAnsiTheme="minorEastAsia" w:eastAsiaTheme="minorEastAsia" w:cstheme="minorEastAsia"/>
          <w:kern w:val="0"/>
          <w:sz w:val="21"/>
          <w:szCs w:val="16"/>
          <w:highlight w:val="none"/>
          <w:u w:val="single"/>
        </w:rPr>
        <w:t xml:space="preserve"> </w:t>
      </w:r>
    </w:p>
    <w:p w14:paraId="1C26E4D6">
      <w:pPr>
        <w:widowControl/>
        <w:adjustRightInd w:val="0"/>
        <w:snapToGrid w:val="0"/>
        <w:spacing w:line="360" w:lineRule="auto"/>
        <w:ind w:left="840" w:hanging="840"/>
        <w:jc w:val="left"/>
        <w:rPr>
          <w:rFonts w:hint="eastAsia" w:asciiTheme="minorEastAsia" w:hAnsiTheme="minorEastAsia" w:eastAsiaTheme="minorEastAsia" w:cstheme="minorEastAsia"/>
          <w:b/>
          <w:kern w:val="0"/>
          <w:sz w:val="21"/>
          <w:szCs w:val="16"/>
          <w:highlight w:val="none"/>
        </w:rPr>
      </w:pPr>
      <w:r>
        <w:rPr>
          <w:rFonts w:hint="eastAsia" w:asciiTheme="minorEastAsia" w:hAnsiTheme="minorEastAsia" w:eastAsiaTheme="minorEastAsia" w:cstheme="minorEastAsia"/>
          <w:kern w:val="0"/>
          <w:sz w:val="21"/>
          <w:szCs w:val="16"/>
          <w:highlight w:val="none"/>
        </w:rPr>
        <w:t>工程地点：</w:t>
      </w:r>
      <w:r>
        <w:rPr>
          <w:rFonts w:hint="eastAsia" w:asciiTheme="minorEastAsia" w:hAnsiTheme="minorEastAsia" w:eastAsiaTheme="minorEastAsia" w:cstheme="minorEastAsia"/>
          <w:kern w:val="0"/>
          <w:sz w:val="21"/>
          <w:szCs w:val="16"/>
          <w:highlight w:val="none"/>
          <w:u w:val="single"/>
          <w:lang w:val="en-US" w:eastAsia="zh-CN"/>
        </w:rPr>
        <w:t>松山湖国际创新创业社区G4栋10楼</w:t>
      </w:r>
      <w:r>
        <w:rPr>
          <w:rFonts w:hint="eastAsia" w:asciiTheme="minorEastAsia" w:hAnsiTheme="minorEastAsia" w:eastAsiaTheme="minorEastAsia" w:cstheme="minorEastAsia"/>
          <w:kern w:val="0"/>
          <w:sz w:val="21"/>
          <w:szCs w:val="16"/>
          <w:highlight w:val="none"/>
          <w:u w:val="single"/>
        </w:rPr>
        <w:t xml:space="preserve">  </w:t>
      </w:r>
    </w:p>
    <w:p w14:paraId="3AAD4400">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工程规模：</w:t>
      </w:r>
      <w:r>
        <w:rPr>
          <w:rFonts w:hint="eastAsia" w:asciiTheme="minorEastAsia" w:hAnsiTheme="minorEastAsia" w:eastAsiaTheme="minorEastAsia" w:cstheme="minorEastAsia"/>
          <w:kern w:val="0"/>
          <w:sz w:val="21"/>
          <w:szCs w:val="16"/>
          <w:highlight w:val="none"/>
          <w:u w:val="single"/>
        </w:rPr>
        <w:t>详见各子项施工图纸</w:t>
      </w:r>
    </w:p>
    <w:p w14:paraId="7B4F03BE">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总投资：</w:t>
      </w:r>
      <w:r>
        <w:rPr>
          <w:rFonts w:hint="eastAsia" w:asciiTheme="minorEastAsia" w:hAnsiTheme="minorEastAsia" w:eastAsiaTheme="minorEastAsia" w:cstheme="minorEastAsia"/>
          <w:kern w:val="0"/>
          <w:sz w:val="21"/>
          <w:szCs w:val="16"/>
          <w:highlight w:val="none"/>
          <w:u w:val="single"/>
        </w:rPr>
        <w:t xml:space="preserve"> 约</w:t>
      </w:r>
      <w:r>
        <w:rPr>
          <w:rFonts w:hint="eastAsia" w:asciiTheme="minorEastAsia" w:hAnsiTheme="minorEastAsia" w:eastAsiaTheme="minorEastAsia" w:cstheme="minorEastAsia"/>
          <w:kern w:val="0"/>
          <w:sz w:val="21"/>
          <w:szCs w:val="16"/>
          <w:highlight w:val="none"/>
          <w:u w:val="single"/>
          <w:lang w:val="en-US" w:eastAsia="zh-CN"/>
        </w:rPr>
        <w:t>31</w:t>
      </w:r>
      <w:r>
        <w:rPr>
          <w:rFonts w:hint="eastAsia" w:asciiTheme="minorEastAsia" w:hAnsiTheme="minorEastAsia" w:eastAsiaTheme="minorEastAsia" w:cstheme="minorEastAsia"/>
          <w:kern w:val="0"/>
          <w:sz w:val="21"/>
          <w:szCs w:val="16"/>
          <w:highlight w:val="none"/>
          <w:u w:val="single"/>
        </w:rPr>
        <w:t xml:space="preserve">0万元  </w:t>
      </w:r>
    </w:p>
    <w:p w14:paraId="5291D100">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二、本合同中的有关词语含义与本合同第二部分《标准条件》中赋予它们的定义相同。</w:t>
      </w:r>
    </w:p>
    <w:p w14:paraId="71FFF770">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三、合同文件的优先次序：</w:t>
      </w:r>
    </w:p>
    <w:p w14:paraId="4F6D0FCC">
      <w:pPr>
        <w:widowControl/>
        <w:tabs>
          <w:tab w:val="left" w:pos="2160"/>
        </w:tabs>
        <w:adjustRightInd w:val="0"/>
        <w:snapToGrid w:val="0"/>
        <w:spacing w:line="360" w:lineRule="auto"/>
        <w:ind w:firstLine="420" w:firstLineChars="20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构成本合同的文件可视为是能互相说明的，如果合同文件存在歧义或不一致，则根据如下优先次序来判断：</w:t>
      </w:r>
    </w:p>
    <w:p w14:paraId="76617B67">
      <w:pPr>
        <w:widowControl/>
        <w:tabs>
          <w:tab w:val="left" w:pos="2160"/>
        </w:tabs>
        <w:adjustRightInd w:val="0"/>
        <w:snapToGrid w:val="0"/>
        <w:spacing w:line="360" w:lineRule="auto"/>
        <w:ind w:firstLine="420" w:firstLineChars="20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3.1 本合同履行过程中双方以书面形式签署的补充和修正文件</w:t>
      </w:r>
    </w:p>
    <w:p w14:paraId="54053F2F">
      <w:pPr>
        <w:widowControl/>
        <w:tabs>
          <w:tab w:val="left" w:pos="2160"/>
        </w:tabs>
        <w:adjustRightInd w:val="0"/>
        <w:snapToGrid w:val="0"/>
        <w:spacing w:line="360" w:lineRule="auto"/>
        <w:ind w:firstLine="420" w:firstLineChars="20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3.2 合同书。</w:t>
      </w:r>
    </w:p>
    <w:p w14:paraId="3F0379FC">
      <w:pPr>
        <w:widowControl/>
        <w:tabs>
          <w:tab w:val="left" w:pos="2160"/>
        </w:tabs>
        <w:adjustRightInd w:val="0"/>
        <w:snapToGrid w:val="0"/>
        <w:spacing w:line="360" w:lineRule="auto"/>
        <w:ind w:firstLine="420" w:firstLineChars="20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3.</w:t>
      </w:r>
      <w:r>
        <w:rPr>
          <w:rFonts w:hint="eastAsia" w:asciiTheme="minorEastAsia" w:hAnsiTheme="minorEastAsia" w:eastAsiaTheme="minorEastAsia" w:cstheme="minorEastAsia"/>
          <w:kern w:val="0"/>
          <w:sz w:val="21"/>
          <w:szCs w:val="16"/>
          <w:highlight w:val="none"/>
          <w:lang w:val="en-US" w:eastAsia="zh-CN"/>
        </w:rPr>
        <w:t>3</w:t>
      </w:r>
      <w:r>
        <w:rPr>
          <w:rFonts w:hint="eastAsia" w:asciiTheme="minorEastAsia" w:hAnsiTheme="minorEastAsia" w:eastAsiaTheme="minorEastAsia" w:cstheme="minorEastAsia"/>
          <w:kern w:val="0"/>
          <w:sz w:val="21"/>
          <w:szCs w:val="16"/>
          <w:highlight w:val="none"/>
        </w:rPr>
        <w:t xml:space="preserve"> 中标通知书</w:t>
      </w:r>
    </w:p>
    <w:p w14:paraId="5EF02EC7">
      <w:pPr>
        <w:widowControl/>
        <w:tabs>
          <w:tab w:val="left" w:pos="2160"/>
        </w:tabs>
        <w:adjustRightInd w:val="0"/>
        <w:snapToGrid w:val="0"/>
        <w:spacing w:line="360" w:lineRule="auto"/>
        <w:ind w:firstLine="420" w:firstLineChars="20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3.</w:t>
      </w:r>
      <w:r>
        <w:rPr>
          <w:rFonts w:hint="eastAsia" w:asciiTheme="minorEastAsia" w:hAnsiTheme="minorEastAsia" w:eastAsiaTheme="minorEastAsia" w:cstheme="minorEastAsia"/>
          <w:kern w:val="0"/>
          <w:sz w:val="21"/>
          <w:szCs w:val="16"/>
          <w:highlight w:val="none"/>
          <w:lang w:val="en-US" w:eastAsia="zh-CN"/>
        </w:rPr>
        <w:t>4</w:t>
      </w:r>
      <w:r>
        <w:rPr>
          <w:rFonts w:hint="eastAsia" w:asciiTheme="minorEastAsia" w:hAnsiTheme="minorEastAsia" w:eastAsiaTheme="minorEastAsia" w:cstheme="minorEastAsia"/>
          <w:kern w:val="0"/>
          <w:sz w:val="21"/>
          <w:szCs w:val="16"/>
          <w:highlight w:val="none"/>
        </w:rPr>
        <w:t xml:space="preserve"> 监理招标文件</w:t>
      </w:r>
    </w:p>
    <w:p w14:paraId="6C898792">
      <w:pPr>
        <w:widowControl/>
        <w:tabs>
          <w:tab w:val="left" w:pos="2160"/>
        </w:tabs>
        <w:adjustRightInd w:val="0"/>
        <w:snapToGrid w:val="0"/>
        <w:spacing w:line="360" w:lineRule="auto"/>
        <w:ind w:firstLine="420" w:firstLineChars="20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3.</w:t>
      </w:r>
      <w:r>
        <w:rPr>
          <w:rFonts w:hint="eastAsia" w:asciiTheme="minorEastAsia" w:hAnsiTheme="minorEastAsia" w:eastAsiaTheme="minorEastAsia" w:cstheme="minorEastAsia"/>
          <w:kern w:val="0"/>
          <w:sz w:val="21"/>
          <w:szCs w:val="16"/>
          <w:highlight w:val="none"/>
          <w:lang w:val="en-US" w:eastAsia="zh-CN"/>
        </w:rPr>
        <w:t>5</w:t>
      </w:r>
      <w:r>
        <w:rPr>
          <w:rFonts w:hint="eastAsia" w:asciiTheme="minorEastAsia" w:hAnsiTheme="minorEastAsia" w:eastAsiaTheme="minorEastAsia" w:cstheme="minorEastAsia"/>
          <w:kern w:val="0"/>
          <w:sz w:val="21"/>
          <w:szCs w:val="16"/>
          <w:highlight w:val="none"/>
        </w:rPr>
        <w:t>发包人要求及委托书</w:t>
      </w:r>
    </w:p>
    <w:p w14:paraId="58677C4A">
      <w:pPr>
        <w:widowControl/>
        <w:tabs>
          <w:tab w:val="left" w:pos="2160"/>
        </w:tabs>
        <w:adjustRightInd w:val="0"/>
        <w:snapToGrid w:val="0"/>
        <w:spacing w:line="360" w:lineRule="auto"/>
        <w:ind w:firstLine="420" w:firstLineChars="20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3.</w:t>
      </w:r>
      <w:r>
        <w:rPr>
          <w:rFonts w:hint="eastAsia" w:asciiTheme="minorEastAsia" w:hAnsiTheme="minorEastAsia" w:eastAsiaTheme="minorEastAsia" w:cstheme="minorEastAsia"/>
          <w:kern w:val="0"/>
          <w:sz w:val="21"/>
          <w:szCs w:val="16"/>
          <w:highlight w:val="none"/>
          <w:lang w:val="en-US" w:eastAsia="zh-CN"/>
        </w:rPr>
        <w:t>6</w:t>
      </w:r>
      <w:r>
        <w:rPr>
          <w:rFonts w:hint="eastAsia" w:asciiTheme="minorEastAsia" w:hAnsiTheme="minorEastAsia" w:eastAsiaTheme="minorEastAsia" w:cstheme="minorEastAsia"/>
          <w:kern w:val="0"/>
          <w:sz w:val="21"/>
          <w:szCs w:val="16"/>
          <w:highlight w:val="none"/>
        </w:rPr>
        <w:t>投标文件</w:t>
      </w:r>
    </w:p>
    <w:p w14:paraId="4DA4FBB5">
      <w:pPr>
        <w:widowControl/>
        <w:numPr>
          <w:ilvl w:val="0"/>
          <w:numId w:val="5"/>
        </w:numPr>
        <w:tabs>
          <w:tab w:val="left" w:pos="420"/>
        </w:tabs>
        <w:adjustRightInd w:val="0"/>
        <w:snapToGrid w:val="0"/>
        <w:spacing w:line="360" w:lineRule="auto"/>
        <w:ind w:left="840" w:hanging="84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kern w:val="0"/>
          <w:sz w:val="21"/>
          <w:szCs w:val="16"/>
          <w:highlight w:val="none"/>
        </w:rPr>
        <w:t>监理人向采购人承诺，按照本合同的规定，承担本合同专用条件中议定范围内的监理业务。</w:t>
      </w:r>
    </w:p>
    <w:p w14:paraId="7F74578E">
      <w:pPr>
        <w:widowControl/>
        <w:numPr>
          <w:ilvl w:val="0"/>
          <w:numId w:val="5"/>
        </w:numPr>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采购人向监理人承诺按照本合同注明的期限、方式、币种，向监理人支付报酬。</w:t>
      </w:r>
    </w:p>
    <w:p w14:paraId="7D001A4F">
      <w:pPr>
        <w:adjustRightInd w:val="0"/>
        <w:snapToGrid w:val="0"/>
        <w:spacing w:line="360" w:lineRule="auto"/>
        <w:ind w:firstLine="415" w:firstLineChars="198"/>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本项目预估投资规模</w:t>
      </w:r>
      <w:r>
        <w:rPr>
          <w:rFonts w:hint="eastAsia" w:asciiTheme="minorEastAsia" w:hAnsiTheme="minorEastAsia" w:eastAsiaTheme="minorEastAsia" w:cstheme="minorEastAsia"/>
          <w:sz w:val="21"/>
          <w:szCs w:val="16"/>
          <w:highlight w:val="none"/>
          <w:u w:val="single"/>
        </w:rPr>
        <w:t>为</w:t>
      </w:r>
      <w:r>
        <w:rPr>
          <w:rFonts w:hint="eastAsia" w:asciiTheme="minorEastAsia" w:hAnsiTheme="minorEastAsia" w:eastAsiaTheme="minorEastAsia" w:cstheme="minorEastAsia"/>
          <w:sz w:val="21"/>
          <w:szCs w:val="16"/>
          <w:highlight w:val="none"/>
          <w:u w:val="single"/>
          <w:lang w:val="en-US" w:eastAsia="zh-CN"/>
        </w:rPr>
        <w:t>31</w:t>
      </w:r>
      <w:r>
        <w:rPr>
          <w:rFonts w:hint="eastAsia" w:asciiTheme="minorEastAsia" w:hAnsiTheme="minorEastAsia" w:eastAsiaTheme="minorEastAsia" w:cstheme="minorEastAsia"/>
          <w:sz w:val="21"/>
          <w:szCs w:val="16"/>
          <w:highlight w:val="none"/>
          <w:u w:val="single"/>
        </w:rPr>
        <w:t>0万元</w:t>
      </w:r>
      <w:r>
        <w:rPr>
          <w:rFonts w:hint="eastAsia" w:asciiTheme="minorEastAsia" w:hAnsiTheme="minorEastAsia" w:eastAsiaTheme="minorEastAsia" w:cstheme="minorEastAsia"/>
          <w:sz w:val="21"/>
          <w:szCs w:val="16"/>
          <w:highlight w:val="none"/>
        </w:rPr>
        <w:t>，签约酬金暂定为（大写）：</w:t>
      </w:r>
      <w:r>
        <w:rPr>
          <w:rFonts w:hint="eastAsia" w:asciiTheme="minorEastAsia" w:hAnsiTheme="minorEastAsia" w:eastAsiaTheme="minorEastAsia" w:cstheme="minorEastAsia"/>
          <w:sz w:val="21"/>
          <w:szCs w:val="16"/>
          <w:highlight w:val="none"/>
          <w:u w:val="single"/>
          <w:lang w:val="en-US" w:eastAsia="zh-CN"/>
        </w:rPr>
        <w:t>壹拾万元整</w:t>
      </w:r>
      <w:r>
        <w:rPr>
          <w:rFonts w:hint="eastAsia" w:asciiTheme="minorEastAsia" w:hAnsiTheme="minorEastAsia" w:eastAsiaTheme="minorEastAsia" w:cstheme="minorEastAsia"/>
          <w:sz w:val="21"/>
          <w:szCs w:val="16"/>
          <w:highlight w:val="none"/>
          <w:u w:val="single"/>
        </w:rPr>
        <w:t xml:space="preserve"> </w:t>
      </w:r>
      <w:r>
        <w:rPr>
          <w:rFonts w:hint="eastAsia" w:asciiTheme="minorEastAsia" w:hAnsiTheme="minorEastAsia" w:eastAsiaTheme="minorEastAsia" w:cstheme="minorEastAsia"/>
          <w:sz w:val="21"/>
          <w:szCs w:val="16"/>
          <w:highlight w:val="none"/>
        </w:rPr>
        <w:t>（¥</w:t>
      </w:r>
      <w:r>
        <w:rPr>
          <w:rFonts w:hint="eastAsia" w:asciiTheme="minorEastAsia" w:hAnsiTheme="minorEastAsia" w:eastAsiaTheme="minorEastAsia" w:cstheme="minorEastAsia"/>
          <w:sz w:val="21"/>
          <w:szCs w:val="16"/>
          <w:highlight w:val="none"/>
          <w:lang w:val="en-US" w:eastAsia="zh-CN"/>
        </w:rPr>
        <w:t>1000</w:t>
      </w:r>
      <w:r>
        <w:rPr>
          <w:rFonts w:hint="eastAsia" w:asciiTheme="minorEastAsia" w:hAnsiTheme="minorEastAsia" w:eastAsiaTheme="minorEastAsia" w:cstheme="minorEastAsia"/>
          <w:sz w:val="21"/>
          <w:szCs w:val="16"/>
          <w:highlight w:val="none"/>
        </w:rPr>
        <w:t>00元），最终以项目</w:t>
      </w:r>
      <w:r>
        <w:rPr>
          <w:rFonts w:hint="eastAsia" w:asciiTheme="minorEastAsia" w:hAnsiTheme="minorEastAsia" w:eastAsiaTheme="minorEastAsia" w:cstheme="minorEastAsia"/>
          <w:sz w:val="21"/>
          <w:szCs w:val="16"/>
          <w:highlight w:val="none"/>
          <w:lang w:val="en-US" w:eastAsia="zh-CN"/>
        </w:rPr>
        <w:t>施工</w:t>
      </w:r>
      <w:r>
        <w:rPr>
          <w:rFonts w:hint="eastAsia" w:asciiTheme="minorEastAsia" w:hAnsiTheme="minorEastAsia" w:eastAsiaTheme="minorEastAsia" w:cstheme="minorEastAsia"/>
          <w:sz w:val="21"/>
          <w:szCs w:val="16"/>
          <w:highlight w:val="none"/>
        </w:rPr>
        <w:t>合同</w:t>
      </w:r>
      <w:r>
        <w:rPr>
          <w:rFonts w:hint="eastAsia" w:asciiTheme="minorEastAsia" w:hAnsiTheme="minorEastAsia" w:eastAsiaTheme="minorEastAsia" w:cstheme="minorEastAsia"/>
          <w:sz w:val="21"/>
          <w:szCs w:val="16"/>
          <w:highlight w:val="none"/>
          <w:lang w:val="en-US" w:eastAsia="zh-CN"/>
        </w:rPr>
        <w:t>签订</w:t>
      </w:r>
      <w:r>
        <w:rPr>
          <w:rFonts w:hint="eastAsia" w:asciiTheme="minorEastAsia" w:hAnsiTheme="minorEastAsia" w:eastAsiaTheme="minorEastAsia" w:cstheme="minorEastAsia"/>
          <w:sz w:val="21"/>
          <w:szCs w:val="16"/>
          <w:highlight w:val="none"/>
        </w:rPr>
        <w:t>金额为计费基数按合同专用条件7.1方式计取。</w:t>
      </w:r>
    </w:p>
    <w:p w14:paraId="0D830460">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本合同自</w:t>
      </w:r>
      <w:r>
        <w:rPr>
          <w:rFonts w:hint="eastAsia" w:asciiTheme="minorEastAsia" w:hAnsiTheme="minorEastAsia" w:eastAsiaTheme="minorEastAsia" w:cstheme="minorEastAsia"/>
          <w:kern w:val="0"/>
          <w:sz w:val="21"/>
          <w:szCs w:val="16"/>
          <w:highlight w:val="none"/>
          <w:u w:val="single"/>
        </w:rPr>
        <w:t xml:space="preserve">   /  </w:t>
      </w:r>
      <w:r>
        <w:rPr>
          <w:rFonts w:hint="eastAsia" w:asciiTheme="minorEastAsia" w:hAnsiTheme="minorEastAsia" w:eastAsiaTheme="minorEastAsia" w:cstheme="minorEastAsia"/>
          <w:kern w:val="0"/>
          <w:sz w:val="21"/>
          <w:szCs w:val="16"/>
          <w:highlight w:val="none"/>
        </w:rPr>
        <w:t>年</w:t>
      </w:r>
      <w:r>
        <w:rPr>
          <w:rFonts w:hint="eastAsia" w:asciiTheme="minorEastAsia" w:hAnsiTheme="minorEastAsia" w:eastAsiaTheme="minorEastAsia" w:cstheme="minorEastAsia"/>
          <w:kern w:val="0"/>
          <w:sz w:val="21"/>
          <w:szCs w:val="16"/>
          <w:highlight w:val="none"/>
          <w:u w:val="single"/>
        </w:rPr>
        <w:t xml:space="preserve">  /   </w:t>
      </w:r>
      <w:r>
        <w:rPr>
          <w:rFonts w:hint="eastAsia" w:asciiTheme="minorEastAsia" w:hAnsiTheme="minorEastAsia" w:eastAsiaTheme="minorEastAsia" w:cstheme="minorEastAsia"/>
          <w:kern w:val="0"/>
          <w:sz w:val="21"/>
          <w:szCs w:val="16"/>
          <w:highlight w:val="none"/>
        </w:rPr>
        <w:t>月</w:t>
      </w:r>
      <w:r>
        <w:rPr>
          <w:rFonts w:hint="eastAsia" w:asciiTheme="minorEastAsia" w:hAnsiTheme="minorEastAsia" w:eastAsiaTheme="minorEastAsia" w:cstheme="minorEastAsia"/>
          <w:kern w:val="0"/>
          <w:sz w:val="21"/>
          <w:szCs w:val="16"/>
          <w:highlight w:val="none"/>
          <w:u w:val="single"/>
        </w:rPr>
        <w:t xml:space="preserve">    / </w:t>
      </w:r>
      <w:r>
        <w:rPr>
          <w:rFonts w:hint="eastAsia" w:asciiTheme="minorEastAsia" w:hAnsiTheme="minorEastAsia" w:eastAsiaTheme="minorEastAsia" w:cstheme="minorEastAsia"/>
          <w:kern w:val="0"/>
          <w:sz w:val="21"/>
          <w:szCs w:val="16"/>
          <w:highlight w:val="none"/>
        </w:rPr>
        <w:t>日开始实施，至</w:t>
      </w:r>
      <w:r>
        <w:rPr>
          <w:rFonts w:hint="eastAsia" w:asciiTheme="minorEastAsia" w:hAnsiTheme="minorEastAsia" w:eastAsiaTheme="minorEastAsia" w:cstheme="minorEastAsia"/>
          <w:kern w:val="0"/>
          <w:sz w:val="21"/>
          <w:szCs w:val="16"/>
          <w:highlight w:val="none"/>
          <w:u w:val="single"/>
        </w:rPr>
        <w:t xml:space="preserve">  /  </w:t>
      </w:r>
      <w:r>
        <w:rPr>
          <w:rFonts w:hint="eastAsia" w:asciiTheme="minorEastAsia" w:hAnsiTheme="minorEastAsia" w:eastAsiaTheme="minorEastAsia" w:cstheme="minorEastAsia"/>
          <w:kern w:val="0"/>
          <w:sz w:val="21"/>
          <w:szCs w:val="16"/>
          <w:highlight w:val="none"/>
        </w:rPr>
        <w:t>年</w:t>
      </w:r>
      <w:r>
        <w:rPr>
          <w:rFonts w:hint="eastAsia" w:asciiTheme="minorEastAsia" w:hAnsiTheme="minorEastAsia" w:eastAsiaTheme="minorEastAsia" w:cstheme="minorEastAsia"/>
          <w:kern w:val="0"/>
          <w:sz w:val="21"/>
          <w:szCs w:val="16"/>
          <w:highlight w:val="none"/>
          <w:u w:val="single"/>
        </w:rPr>
        <w:t xml:space="preserve"> /   </w:t>
      </w:r>
      <w:r>
        <w:rPr>
          <w:rFonts w:hint="eastAsia" w:asciiTheme="minorEastAsia" w:hAnsiTheme="minorEastAsia" w:eastAsiaTheme="minorEastAsia" w:cstheme="minorEastAsia"/>
          <w:kern w:val="0"/>
          <w:sz w:val="21"/>
          <w:szCs w:val="16"/>
          <w:highlight w:val="none"/>
        </w:rPr>
        <w:t>月</w:t>
      </w:r>
      <w:r>
        <w:rPr>
          <w:rFonts w:hint="eastAsia" w:asciiTheme="minorEastAsia" w:hAnsiTheme="minorEastAsia" w:eastAsiaTheme="minorEastAsia" w:cstheme="minorEastAsia"/>
          <w:kern w:val="0"/>
          <w:sz w:val="21"/>
          <w:szCs w:val="16"/>
          <w:highlight w:val="none"/>
          <w:u w:val="single"/>
        </w:rPr>
        <w:t xml:space="preserve">   / </w:t>
      </w:r>
      <w:r>
        <w:rPr>
          <w:rFonts w:hint="eastAsia" w:asciiTheme="minorEastAsia" w:hAnsiTheme="minorEastAsia" w:eastAsiaTheme="minorEastAsia" w:cstheme="minorEastAsia"/>
          <w:kern w:val="0"/>
          <w:sz w:val="21"/>
          <w:szCs w:val="16"/>
          <w:highlight w:val="none"/>
        </w:rPr>
        <w:t>日完成。</w:t>
      </w:r>
    </w:p>
    <w:p w14:paraId="19D0FEED">
      <w:pPr>
        <w:pStyle w:val="11"/>
        <w:autoSpaceDE w:val="0"/>
        <w:autoSpaceDN w:val="0"/>
        <w:adjustRightIn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总工期暂定为</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365</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日历天，具体以甲方通知的文件、有关设计变更和技术交底及相关会议纪要等为准。</w:t>
      </w:r>
    </w:p>
    <w:p w14:paraId="1ED39D95">
      <w:pPr>
        <w:widowControl/>
        <w:numPr>
          <w:ilvl w:val="0"/>
          <w:numId w:val="5"/>
        </w:numPr>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其它说明</w:t>
      </w:r>
    </w:p>
    <w:p w14:paraId="3519744D">
      <w:pPr>
        <w:widowControl/>
        <w:numPr>
          <w:ilvl w:val="0"/>
          <w:numId w:val="0"/>
        </w:numPr>
        <w:adjustRightInd w:val="0"/>
        <w:snapToGrid w:val="0"/>
        <w:spacing w:line="360" w:lineRule="auto"/>
        <w:ind w:firstLine="420" w:firstLineChars="20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lang w:val="en-US" w:eastAsia="zh-CN"/>
        </w:rPr>
        <w:t>6.1</w:t>
      </w:r>
      <w:r>
        <w:rPr>
          <w:rFonts w:hint="eastAsia" w:asciiTheme="minorEastAsia" w:hAnsiTheme="minorEastAsia" w:eastAsiaTheme="minorEastAsia" w:cstheme="minorEastAsia"/>
          <w:kern w:val="0"/>
          <w:sz w:val="21"/>
          <w:szCs w:val="16"/>
          <w:highlight w:val="none"/>
        </w:rPr>
        <w:t>在服务期限内，</w:t>
      </w:r>
      <w:r>
        <w:rPr>
          <w:rFonts w:hint="eastAsia" w:asciiTheme="minorEastAsia" w:hAnsiTheme="minorEastAsia" w:eastAsiaTheme="minorEastAsia" w:cstheme="minorEastAsia"/>
          <w:kern w:val="0"/>
          <w:sz w:val="21"/>
          <w:szCs w:val="16"/>
          <w:highlight w:val="none"/>
          <w:lang w:val="en-US" w:eastAsia="zh-CN"/>
        </w:rPr>
        <w:t>采购人</w:t>
      </w:r>
      <w:r>
        <w:rPr>
          <w:rFonts w:hint="eastAsia" w:asciiTheme="minorEastAsia" w:hAnsiTheme="minorEastAsia" w:eastAsiaTheme="minorEastAsia" w:cstheme="minorEastAsia"/>
          <w:kern w:val="0"/>
          <w:sz w:val="21"/>
          <w:szCs w:val="16"/>
          <w:highlight w:val="none"/>
        </w:rPr>
        <w:t>有权按照实际情况</w:t>
      </w:r>
      <w:r>
        <w:rPr>
          <w:rFonts w:hint="eastAsia" w:asciiTheme="minorEastAsia" w:hAnsiTheme="minorEastAsia" w:eastAsiaTheme="minorEastAsia" w:cstheme="minorEastAsia"/>
          <w:strike w:val="0"/>
          <w:dstrike w:val="0"/>
          <w:color w:val="auto"/>
          <w:kern w:val="0"/>
          <w:sz w:val="21"/>
          <w:szCs w:val="16"/>
          <w:highlight w:val="none"/>
          <w:u w:val="none"/>
          <w:shd w:val="clear" w:fill="auto"/>
        </w:rPr>
        <w:t>进行</w:t>
      </w:r>
      <w:r>
        <w:rPr>
          <w:rFonts w:hint="eastAsia" w:asciiTheme="minorEastAsia" w:hAnsiTheme="minorEastAsia" w:eastAsiaTheme="minorEastAsia" w:cstheme="minorEastAsia"/>
          <w:kern w:val="0"/>
          <w:sz w:val="21"/>
          <w:szCs w:val="16"/>
          <w:highlight w:val="none"/>
        </w:rPr>
        <w:t>调整服务期、服务内容，甚至提前解除合同，中标人应根据</w:t>
      </w:r>
      <w:r>
        <w:rPr>
          <w:rFonts w:hint="eastAsia" w:asciiTheme="minorEastAsia" w:hAnsiTheme="minorEastAsia" w:eastAsiaTheme="minorEastAsia" w:cstheme="minorEastAsia"/>
          <w:kern w:val="0"/>
          <w:sz w:val="21"/>
          <w:szCs w:val="16"/>
          <w:highlight w:val="none"/>
          <w:lang w:val="en-US" w:eastAsia="zh-CN"/>
        </w:rPr>
        <w:t>采购人</w:t>
      </w:r>
      <w:r>
        <w:rPr>
          <w:rFonts w:hint="eastAsia" w:asciiTheme="minorEastAsia" w:hAnsiTheme="minorEastAsia" w:eastAsiaTheme="minorEastAsia" w:cstheme="minorEastAsia"/>
          <w:kern w:val="0"/>
          <w:sz w:val="21"/>
          <w:szCs w:val="16"/>
          <w:highlight w:val="none"/>
        </w:rPr>
        <w:t>的指示配合执行，中标人对此知悉并明确表示无异议，且中标人保证不因前述情形而向</w:t>
      </w:r>
      <w:r>
        <w:rPr>
          <w:rFonts w:hint="eastAsia" w:asciiTheme="minorEastAsia" w:hAnsiTheme="minorEastAsia" w:eastAsiaTheme="minorEastAsia" w:cstheme="minorEastAsia"/>
          <w:kern w:val="0"/>
          <w:sz w:val="21"/>
          <w:szCs w:val="16"/>
          <w:highlight w:val="none"/>
          <w:lang w:val="en-US" w:eastAsia="zh-CN"/>
        </w:rPr>
        <w:t>采购人</w:t>
      </w:r>
      <w:r>
        <w:rPr>
          <w:rFonts w:hint="eastAsia" w:asciiTheme="minorEastAsia" w:hAnsiTheme="minorEastAsia" w:eastAsiaTheme="minorEastAsia" w:cstheme="minorEastAsia"/>
          <w:kern w:val="0"/>
          <w:sz w:val="21"/>
          <w:szCs w:val="16"/>
          <w:highlight w:val="none"/>
        </w:rPr>
        <w:t>主张任何形式的补偿或者赔偿。</w:t>
      </w:r>
    </w:p>
    <w:p w14:paraId="7B8EFD7B">
      <w:pPr>
        <w:widowControl/>
        <w:numPr>
          <w:ilvl w:val="0"/>
          <w:numId w:val="0"/>
        </w:numPr>
        <w:adjustRightInd w:val="0"/>
        <w:snapToGrid w:val="0"/>
        <w:spacing w:line="360" w:lineRule="auto"/>
        <w:ind w:leftChars="0" w:firstLine="420" w:firstLineChars="20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lang w:val="en-US" w:eastAsia="zh-CN"/>
        </w:rPr>
        <w:t>6.2</w:t>
      </w:r>
      <w:r>
        <w:rPr>
          <w:rFonts w:hint="eastAsia" w:asciiTheme="minorEastAsia" w:hAnsiTheme="minorEastAsia" w:eastAsiaTheme="minorEastAsia" w:cstheme="minorEastAsia"/>
          <w:kern w:val="0"/>
          <w:sz w:val="21"/>
          <w:szCs w:val="16"/>
          <w:highlight w:val="none"/>
        </w:rPr>
        <w:t>服务期内，如因特殊情况</w:t>
      </w:r>
      <w:r>
        <w:rPr>
          <w:rFonts w:hint="eastAsia" w:asciiTheme="minorEastAsia" w:hAnsiTheme="minorEastAsia" w:eastAsiaTheme="minorEastAsia" w:cstheme="minorEastAsia"/>
          <w:kern w:val="0"/>
          <w:sz w:val="21"/>
          <w:szCs w:val="16"/>
          <w:highlight w:val="none"/>
          <w:lang w:val="en-US" w:eastAsia="zh-CN"/>
        </w:rPr>
        <w:t>采购人</w:t>
      </w:r>
      <w:r>
        <w:rPr>
          <w:rFonts w:hint="eastAsia" w:asciiTheme="minorEastAsia" w:hAnsiTheme="minorEastAsia" w:eastAsiaTheme="minorEastAsia" w:cstheme="minorEastAsia"/>
          <w:kern w:val="0"/>
          <w:sz w:val="21"/>
          <w:szCs w:val="16"/>
          <w:highlight w:val="none"/>
        </w:rPr>
        <w:t>需解除合同，中标人对此无异议，并不得因此要求</w:t>
      </w:r>
      <w:r>
        <w:rPr>
          <w:rFonts w:hint="eastAsia" w:asciiTheme="minorEastAsia" w:hAnsiTheme="minorEastAsia" w:eastAsiaTheme="minorEastAsia" w:cstheme="minorEastAsia"/>
          <w:kern w:val="0"/>
          <w:sz w:val="21"/>
          <w:szCs w:val="16"/>
          <w:highlight w:val="none"/>
          <w:lang w:val="en-US" w:eastAsia="zh-CN"/>
        </w:rPr>
        <w:t>采购人</w:t>
      </w:r>
      <w:r>
        <w:rPr>
          <w:rFonts w:hint="eastAsia" w:asciiTheme="minorEastAsia" w:hAnsiTheme="minorEastAsia" w:eastAsiaTheme="minorEastAsia" w:cstheme="minorEastAsia"/>
          <w:strike w:val="0"/>
          <w:dstrike w:val="0"/>
          <w:color w:val="auto"/>
          <w:kern w:val="0"/>
          <w:sz w:val="21"/>
          <w:szCs w:val="16"/>
          <w:highlight w:val="none"/>
          <w:u w:val="none"/>
          <w:shd w:val="clear" w:fill="auto"/>
        </w:rPr>
        <w:t>提供</w:t>
      </w:r>
      <w:r>
        <w:rPr>
          <w:rFonts w:hint="eastAsia" w:asciiTheme="minorEastAsia" w:hAnsiTheme="minorEastAsia" w:eastAsiaTheme="minorEastAsia" w:cstheme="minorEastAsia"/>
          <w:kern w:val="0"/>
          <w:sz w:val="21"/>
          <w:szCs w:val="16"/>
          <w:highlight w:val="none"/>
        </w:rPr>
        <w:t>任何形式的补偿或赔偿。</w:t>
      </w:r>
    </w:p>
    <w:p w14:paraId="61DD22D5">
      <w:pPr>
        <w:rPr>
          <w:rFonts w:hint="eastAsia" w:eastAsiaTheme="minorEastAsia"/>
          <w:highlight w:val="none"/>
          <w:lang w:val="en-US" w:eastAsia="zh-CN"/>
        </w:rPr>
      </w:pPr>
    </w:p>
    <w:p w14:paraId="08643016">
      <w:pPr>
        <w:pStyle w:val="2"/>
        <w:spacing w:line="360" w:lineRule="auto"/>
        <w:rPr>
          <w:rFonts w:hint="eastAsia" w:asciiTheme="minorEastAsia" w:hAnsiTheme="minorEastAsia" w:eastAsiaTheme="minorEastAsia" w:cstheme="minorEastAsia"/>
          <w:sz w:val="18"/>
          <w:szCs w:val="16"/>
          <w:highlight w:val="none"/>
        </w:rPr>
      </w:pPr>
    </w:p>
    <w:p w14:paraId="3F26BC6E">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本合同一式</w:t>
      </w:r>
      <w:r>
        <w:rPr>
          <w:rFonts w:hint="eastAsia" w:asciiTheme="minorEastAsia" w:hAnsiTheme="minorEastAsia" w:eastAsiaTheme="minorEastAsia" w:cstheme="minorEastAsia"/>
          <w:kern w:val="0"/>
          <w:sz w:val="21"/>
          <w:szCs w:val="16"/>
          <w:highlight w:val="none"/>
          <w:u w:val="single"/>
        </w:rPr>
        <w:t xml:space="preserve">  肆 </w:t>
      </w:r>
      <w:r>
        <w:rPr>
          <w:rFonts w:hint="eastAsia" w:asciiTheme="minorEastAsia" w:hAnsiTheme="minorEastAsia" w:eastAsiaTheme="minorEastAsia" w:cstheme="minorEastAsia"/>
          <w:kern w:val="0"/>
          <w:sz w:val="21"/>
          <w:szCs w:val="16"/>
          <w:highlight w:val="none"/>
        </w:rPr>
        <w:t>份，具有同等法律效力，双方各执</w:t>
      </w:r>
      <w:r>
        <w:rPr>
          <w:rFonts w:hint="eastAsia" w:asciiTheme="minorEastAsia" w:hAnsiTheme="minorEastAsia" w:eastAsiaTheme="minorEastAsia" w:cstheme="minorEastAsia"/>
          <w:kern w:val="0"/>
          <w:sz w:val="21"/>
          <w:szCs w:val="16"/>
          <w:highlight w:val="none"/>
          <w:u w:val="single"/>
        </w:rPr>
        <w:t xml:space="preserve">   两   </w:t>
      </w:r>
      <w:r>
        <w:rPr>
          <w:rFonts w:hint="eastAsia" w:asciiTheme="minorEastAsia" w:hAnsiTheme="minorEastAsia" w:eastAsiaTheme="minorEastAsia" w:cstheme="minorEastAsia"/>
          <w:kern w:val="0"/>
          <w:sz w:val="21"/>
          <w:szCs w:val="16"/>
          <w:highlight w:val="none"/>
        </w:rPr>
        <w:t>份。</w:t>
      </w:r>
    </w:p>
    <w:p w14:paraId="5F88A2BF">
      <w:pPr>
        <w:spacing w:line="360" w:lineRule="auto"/>
        <w:rPr>
          <w:sz w:val="21"/>
          <w:szCs w:val="16"/>
          <w:highlight w:val="none"/>
        </w:rPr>
      </w:pPr>
    </w:p>
    <w:p w14:paraId="524D7AC4">
      <w:pPr>
        <w:spacing w:line="360" w:lineRule="auto"/>
        <w:rPr>
          <w:sz w:val="21"/>
          <w:szCs w:val="16"/>
          <w:highlight w:val="none"/>
        </w:rPr>
      </w:pPr>
      <w:r>
        <w:rPr>
          <w:rFonts w:hint="eastAsia"/>
          <w:sz w:val="21"/>
          <w:szCs w:val="16"/>
          <w:highlight w:val="none"/>
        </w:rPr>
        <w:t>附件一：  安全生产文明施工补充协议</w:t>
      </w:r>
    </w:p>
    <w:p w14:paraId="62D88371">
      <w:pPr>
        <w:spacing w:line="360" w:lineRule="auto"/>
        <w:rPr>
          <w:rFonts w:hint="eastAsia"/>
          <w:sz w:val="21"/>
          <w:szCs w:val="16"/>
          <w:highlight w:val="none"/>
        </w:rPr>
      </w:pPr>
      <w:r>
        <w:rPr>
          <w:rFonts w:hint="eastAsia"/>
          <w:sz w:val="21"/>
          <w:szCs w:val="16"/>
          <w:highlight w:val="none"/>
        </w:rPr>
        <w:t>附件二：  阳光合作告知函</w:t>
      </w:r>
    </w:p>
    <w:p w14:paraId="3530B1F8">
      <w:pPr>
        <w:spacing w:line="360" w:lineRule="auto"/>
        <w:rPr>
          <w:rFonts w:hint="eastAsia"/>
          <w:sz w:val="21"/>
          <w:szCs w:val="16"/>
          <w:highlight w:val="none"/>
          <w:lang w:val="en-US"/>
        </w:rPr>
      </w:pPr>
    </w:p>
    <w:p w14:paraId="7A11BD55">
      <w:pPr>
        <w:pStyle w:val="2"/>
        <w:rPr>
          <w:rFonts w:hint="eastAsia"/>
          <w:sz w:val="21"/>
          <w:szCs w:val="16"/>
          <w:highlight w:val="none"/>
          <w:lang w:val="en-US"/>
        </w:rPr>
      </w:pPr>
    </w:p>
    <w:p w14:paraId="3DD77C0B">
      <w:pPr>
        <w:pStyle w:val="3"/>
        <w:rPr>
          <w:rFonts w:hint="eastAsia"/>
          <w:highlight w:val="none"/>
          <w:lang w:val="en-US"/>
        </w:rPr>
      </w:pPr>
    </w:p>
    <w:p w14:paraId="6C4ABD82">
      <w:pPr>
        <w:adjustRightInd w:val="0"/>
        <w:snapToGrid w:val="0"/>
        <w:spacing w:line="480" w:lineRule="auto"/>
        <w:ind w:firstLine="480" w:firstLineChars="200"/>
        <w:rPr>
          <w:rFonts w:ascii="宋体" w:hAnsi="宋体"/>
          <w:color w:val="auto"/>
          <w:sz w:val="24"/>
          <w:highlight w:val="none"/>
        </w:rPr>
      </w:pPr>
      <w:r>
        <w:rPr>
          <w:rFonts w:hint="eastAsia" w:ascii="宋体" w:hAnsi="宋体"/>
          <w:color w:val="auto"/>
          <w:sz w:val="24"/>
          <w:highlight w:val="none"/>
        </w:rPr>
        <w:t>委托人：</w:t>
      </w:r>
      <w:r>
        <w:rPr>
          <w:rFonts w:hint="eastAsia" w:ascii="宋体" w:hAnsi="宋体"/>
          <w:color w:val="auto"/>
          <w:sz w:val="24"/>
          <w:highlight w:val="none"/>
          <w:u w:val="single"/>
        </w:rPr>
        <w:t xml:space="preserve">   （盖章）       </w:t>
      </w:r>
      <w:r>
        <w:rPr>
          <w:rFonts w:hint="eastAsia" w:ascii="宋体" w:hAnsi="宋体"/>
          <w:color w:val="auto"/>
          <w:sz w:val="24"/>
          <w:highlight w:val="none"/>
        </w:rPr>
        <w:t xml:space="preserve">      监理人：</w:t>
      </w:r>
      <w:r>
        <w:rPr>
          <w:rFonts w:hint="eastAsia" w:ascii="宋体" w:hAnsi="宋体"/>
          <w:color w:val="auto"/>
          <w:sz w:val="24"/>
          <w:highlight w:val="none"/>
          <w:u w:val="single"/>
        </w:rPr>
        <w:t xml:space="preserve">   （盖章）    </w:t>
      </w:r>
    </w:p>
    <w:p w14:paraId="63EDD975">
      <w:pPr>
        <w:adjustRightInd w:val="0"/>
        <w:snapToGrid w:val="0"/>
        <w:spacing w:line="480" w:lineRule="auto"/>
        <w:ind w:firstLine="475" w:firstLineChars="198"/>
        <w:rPr>
          <w:rFonts w:ascii="宋体" w:hAnsi="宋体"/>
          <w:color w:val="auto"/>
          <w:sz w:val="24"/>
          <w:highlight w:val="none"/>
        </w:rPr>
      </w:pPr>
      <w:r>
        <w:rPr>
          <w:rFonts w:hint="eastAsia" w:ascii="宋体" w:hAnsi="宋体"/>
          <w:color w:val="auto"/>
          <w:sz w:val="24"/>
          <w:highlight w:val="none"/>
        </w:rPr>
        <w:t>法定代表人或其授权              法定代表人或其授权</w:t>
      </w:r>
    </w:p>
    <w:p w14:paraId="211D3291">
      <w:pPr>
        <w:adjustRightInd w:val="0"/>
        <w:snapToGrid w:val="0"/>
        <w:spacing w:line="480" w:lineRule="auto"/>
        <w:ind w:firstLine="475" w:firstLineChars="198"/>
        <w:rPr>
          <w:rFonts w:ascii="宋体" w:hAnsi="宋体"/>
          <w:color w:val="auto"/>
          <w:sz w:val="24"/>
          <w:highlight w:val="none"/>
          <w:u w:val="single"/>
        </w:rPr>
      </w:pPr>
      <w:r>
        <w:rPr>
          <w:rFonts w:hint="eastAsia" w:ascii="宋体" w:hAnsi="宋体"/>
          <w:color w:val="auto"/>
          <w:sz w:val="24"/>
          <w:highlight w:val="none"/>
        </w:rPr>
        <w:t>的代理人：</w:t>
      </w:r>
      <w:r>
        <w:rPr>
          <w:rFonts w:hint="eastAsia" w:ascii="宋体" w:hAnsi="宋体"/>
          <w:color w:val="auto"/>
          <w:sz w:val="24"/>
          <w:highlight w:val="none"/>
          <w:u w:val="single"/>
        </w:rPr>
        <w:t xml:space="preserve">（签字）         </w:t>
      </w:r>
      <w:r>
        <w:rPr>
          <w:rFonts w:hint="eastAsia" w:ascii="宋体" w:hAnsi="宋体"/>
          <w:color w:val="auto"/>
          <w:sz w:val="24"/>
          <w:highlight w:val="none"/>
        </w:rPr>
        <w:t xml:space="preserve">      的代理人：</w:t>
      </w:r>
      <w:r>
        <w:rPr>
          <w:rFonts w:hint="eastAsia" w:ascii="宋体" w:hAnsi="宋体"/>
          <w:color w:val="auto"/>
          <w:sz w:val="24"/>
          <w:highlight w:val="none"/>
          <w:u w:val="single"/>
        </w:rPr>
        <w:t xml:space="preserve">（签字）          </w:t>
      </w:r>
    </w:p>
    <w:p w14:paraId="1F840720">
      <w:pPr>
        <w:adjustRightInd w:val="0"/>
        <w:snapToGrid w:val="0"/>
        <w:spacing w:line="480" w:lineRule="auto"/>
        <w:ind w:left="5392" w:leftChars="225" w:hanging="4920" w:hangingChars="2050"/>
        <w:rPr>
          <w:rFonts w:hint="default" w:ascii="宋体" w:hAnsi="宋体" w:eastAsia="宋体"/>
          <w:color w:val="auto"/>
          <w:sz w:val="24"/>
          <w:highlight w:val="none"/>
          <w:lang w:val="en-US" w:eastAsia="zh-CN"/>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开户名称：</w:t>
      </w:r>
      <w:r>
        <w:rPr>
          <w:rFonts w:hint="eastAsia" w:ascii="宋体" w:hAnsi="宋体"/>
          <w:color w:val="auto"/>
          <w:sz w:val="24"/>
          <w:highlight w:val="none"/>
          <w:u w:val="single"/>
          <w:lang w:val="en-US" w:eastAsia="zh-CN"/>
        </w:rPr>
        <w:t xml:space="preserve">                       </w:t>
      </w:r>
    </w:p>
    <w:p w14:paraId="596E57FC">
      <w:pPr>
        <w:adjustRightInd w:val="0"/>
        <w:snapToGrid w:val="0"/>
        <w:spacing w:line="480" w:lineRule="auto"/>
        <w:ind w:left="6238" w:leftChars="228" w:hanging="5760" w:hangingChars="2400"/>
        <w:rPr>
          <w:rFonts w:hint="default" w:ascii="宋体" w:hAnsi="宋体" w:eastAsia="宋体"/>
          <w:color w:val="auto"/>
          <w:sz w:val="24"/>
          <w:highlight w:val="none"/>
          <w:lang w:val="en-US" w:eastAsia="zh-CN"/>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开户银行：</w:t>
      </w:r>
      <w:r>
        <w:rPr>
          <w:rFonts w:hint="eastAsia" w:ascii="宋体" w:hAnsi="宋体"/>
          <w:color w:val="auto"/>
          <w:sz w:val="24"/>
          <w:highlight w:val="none"/>
          <w:u w:val="single"/>
          <w:lang w:val="en-US" w:eastAsia="zh-CN"/>
        </w:rPr>
        <w:t xml:space="preserve">                   </w:t>
      </w:r>
    </w:p>
    <w:p w14:paraId="1DDA3464">
      <w:pPr>
        <w:adjustRightInd w:val="0"/>
        <w:snapToGrid w:val="0"/>
        <w:spacing w:line="480" w:lineRule="auto"/>
        <w:ind w:firstLine="475" w:firstLineChars="198"/>
        <w:rPr>
          <w:rFonts w:ascii="宋体" w:hAnsi="宋体"/>
          <w:color w:val="auto"/>
          <w:sz w:val="24"/>
          <w:highlight w:val="none"/>
        </w:rPr>
      </w:pPr>
      <w:r>
        <w:rPr>
          <w:rFonts w:hint="eastAsia" w:ascii="宋体" w:hAnsi="宋体"/>
          <w:color w:val="auto"/>
          <w:sz w:val="24"/>
          <w:highlight w:val="none"/>
        </w:rPr>
        <w:t>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账号：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 </w:t>
      </w:r>
    </w:p>
    <w:p w14:paraId="27EF78A3">
      <w:pPr>
        <w:adjustRightInd w:val="0"/>
        <w:snapToGrid w:val="0"/>
        <w:spacing w:line="480" w:lineRule="auto"/>
        <w:ind w:firstLine="475" w:firstLineChars="198"/>
        <w:rPr>
          <w:rFonts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038582EE">
      <w:pPr>
        <w:rPr>
          <w:rFonts w:hint="eastAsia" w:asciiTheme="minorEastAsia" w:hAnsiTheme="minorEastAsia" w:eastAsiaTheme="minorEastAsia" w:cstheme="minorEastAsia"/>
          <w:b/>
          <w:bCs/>
          <w:kern w:val="0"/>
          <w:sz w:val="21"/>
          <w:szCs w:val="16"/>
          <w:highlight w:val="none"/>
        </w:rPr>
      </w:pPr>
      <w:r>
        <w:rPr>
          <w:rFonts w:hint="eastAsia" w:asciiTheme="minorEastAsia" w:hAnsiTheme="minorEastAsia" w:eastAsiaTheme="minorEastAsia" w:cstheme="minorEastAsia"/>
          <w:b/>
          <w:bCs/>
          <w:kern w:val="0"/>
          <w:sz w:val="21"/>
          <w:szCs w:val="16"/>
          <w:highlight w:val="none"/>
        </w:rPr>
        <w:br w:type="page"/>
      </w:r>
    </w:p>
    <w:p w14:paraId="60F485D5">
      <w:pPr>
        <w:pStyle w:val="2"/>
        <w:rPr>
          <w:rFonts w:hint="eastAsia"/>
          <w:highlight w:val="none"/>
        </w:rPr>
      </w:pPr>
    </w:p>
    <w:p w14:paraId="32ED894C">
      <w:pPr>
        <w:widowControl/>
        <w:adjustRightInd w:val="0"/>
        <w:snapToGrid w:val="0"/>
        <w:spacing w:line="360" w:lineRule="auto"/>
        <w:ind w:left="840" w:hanging="840"/>
        <w:jc w:val="center"/>
        <w:outlineLvl w:val="1"/>
        <w:rPr>
          <w:rFonts w:hint="eastAsia" w:asciiTheme="minorEastAsia" w:hAnsiTheme="minorEastAsia" w:eastAsiaTheme="minorEastAsia" w:cstheme="minorEastAsia"/>
          <w:b/>
          <w:bCs/>
          <w:kern w:val="0"/>
          <w:sz w:val="21"/>
          <w:szCs w:val="16"/>
          <w:highlight w:val="none"/>
        </w:rPr>
      </w:pPr>
      <w:r>
        <w:rPr>
          <w:rFonts w:hint="eastAsia" w:asciiTheme="minorEastAsia" w:hAnsiTheme="minorEastAsia" w:eastAsiaTheme="minorEastAsia" w:cstheme="minorEastAsia"/>
          <w:b/>
          <w:bCs/>
          <w:kern w:val="0"/>
          <w:sz w:val="21"/>
          <w:szCs w:val="16"/>
          <w:highlight w:val="none"/>
        </w:rPr>
        <w:t>第二部分 标准条件</w:t>
      </w:r>
    </w:p>
    <w:p w14:paraId="2926BC46">
      <w:pPr>
        <w:widowControl/>
        <w:adjustRightInd w:val="0"/>
        <w:snapToGrid w:val="0"/>
        <w:spacing w:line="360" w:lineRule="auto"/>
        <w:ind w:left="840" w:hanging="840"/>
        <w:jc w:val="center"/>
        <w:rPr>
          <w:rFonts w:hint="eastAsia" w:asciiTheme="minorEastAsia" w:hAnsiTheme="minorEastAsia" w:eastAsiaTheme="minorEastAsia" w:cstheme="minorEastAsia"/>
          <w:b/>
          <w:kern w:val="0"/>
          <w:sz w:val="21"/>
          <w:szCs w:val="16"/>
          <w:highlight w:val="none"/>
        </w:rPr>
      </w:pPr>
      <w:r>
        <w:rPr>
          <w:rFonts w:hint="eastAsia" w:asciiTheme="minorEastAsia" w:hAnsiTheme="minorEastAsia" w:eastAsiaTheme="minorEastAsia" w:cstheme="minorEastAsia"/>
          <w:b/>
          <w:kern w:val="0"/>
          <w:sz w:val="21"/>
          <w:szCs w:val="16"/>
          <w:highlight w:val="none"/>
        </w:rPr>
        <w:t>词语定义、适用范围和法规</w:t>
      </w:r>
    </w:p>
    <w:p w14:paraId="593FFE16">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第一条　</w:t>
      </w:r>
      <w:r>
        <w:rPr>
          <w:rFonts w:hint="eastAsia" w:asciiTheme="minorEastAsia" w:hAnsiTheme="minorEastAsia" w:eastAsiaTheme="minorEastAsia" w:cstheme="minorEastAsia"/>
          <w:kern w:val="0"/>
          <w:sz w:val="21"/>
          <w:szCs w:val="16"/>
          <w:highlight w:val="none"/>
        </w:rPr>
        <w:t>下列名词和用语，除上下文另有规定外，有如下含义：</w:t>
      </w:r>
    </w:p>
    <w:p w14:paraId="7B9C6585">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（1）“工程”是指采购人委托实施监理的工程。</w:t>
      </w:r>
    </w:p>
    <w:p w14:paraId="3742FE69">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（2）“采购人”：《</w:t>
      </w:r>
      <w:r>
        <w:rPr>
          <w:rFonts w:hint="eastAsia" w:asciiTheme="minorEastAsia" w:hAnsiTheme="minorEastAsia" w:eastAsiaTheme="minorEastAsia" w:cstheme="minorEastAsia"/>
          <w:strike w:val="0"/>
          <w:dstrike w:val="0"/>
          <w:color w:val="auto"/>
          <w:kern w:val="0"/>
          <w:sz w:val="21"/>
          <w:szCs w:val="16"/>
          <w:highlight w:val="none"/>
          <w:u w:val="none"/>
          <w:shd w:val="clear" w:fill="auto"/>
        </w:rPr>
        <w:t>投标</w:t>
      </w:r>
      <w:r>
        <w:rPr>
          <w:rFonts w:hint="eastAsia" w:asciiTheme="minorEastAsia" w:hAnsiTheme="minorEastAsia" w:eastAsiaTheme="minorEastAsia" w:cstheme="minorEastAsia"/>
          <w:kern w:val="0"/>
          <w:sz w:val="21"/>
          <w:szCs w:val="16"/>
          <w:highlight w:val="none"/>
        </w:rPr>
        <w:t>资料表》所指的采购人。</w:t>
      </w:r>
    </w:p>
    <w:p w14:paraId="2D0BE9B5">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（3）“监理人”是指承担监理业务和监理责任的一方，以及其合法继承人。</w:t>
      </w:r>
    </w:p>
    <w:p w14:paraId="14371C4C">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（4）“监理机构”是指监理人派驻本工程现场实施监理业务的组织。</w:t>
      </w:r>
    </w:p>
    <w:p w14:paraId="4237FF6B">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（5）“总监理工程师”是指经采购人同意，监理人派到监理机构全面履行本合同的全权负责人。</w:t>
      </w:r>
    </w:p>
    <w:p w14:paraId="073E102A">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（6）“承包人”是指除监理人以外，与采购人就工程建设有关事宜签订合同的当事人。</w:t>
      </w:r>
    </w:p>
    <w:p w14:paraId="1495B32E">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（7）“工程监理的正常工作”是指双方在专用条件中约定，采购人委托的监理工作范围和内容。</w:t>
      </w:r>
    </w:p>
    <w:p w14:paraId="3285CD7F">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（8）“工程监理的附加工作”是指：①采购人委托监理范围以外，通过双方书面协议另外增加的工作内容；②由于采购人或承包人原因，使监理工作受到阻碍或延误，因增加工作量或持续时间而增加的工作。</w:t>
      </w:r>
    </w:p>
    <w:p w14:paraId="64E453DE">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（9）“工程监理的额外工作”是指正常工作和附加工作以外，根据第三十八条规定监理人必须完成的工作，或非监理人自己的原因而暂停或终止监理业务，其善后工作及恢复监理业务的工作。</w:t>
      </w:r>
    </w:p>
    <w:p w14:paraId="0F940AEC">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（10）“日”是指任何一天零时至第二天零时的时间段。</w:t>
      </w:r>
    </w:p>
    <w:p w14:paraId="2A8DF6BA">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（11）“月”是指根据公历从一个月份中任何一天开始到下一个月相应日期的前一天的时间段。</w:t>
      </w:r>
    </w:p>
    <w:p w14:paraId="70319B4B">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第二条</w:t>
      </w:r>
      <w:r>
        <w:rPr>
          <w:rFonts w:hint="eastAsia" w:asciiTheme="minorEastAsia" w:hAnsiTheme="minorEastAsia" w:eastAsiaTheme="minorEastAsia" w:cstheme="minorEastAsia"/>
          <w:kern w:val="0"/>
          <w:sz w:val="21"/>
          <w:szCs w:val="16"/>
          <w:highlight w:val="none"/>
        </w:rPr>
        <w:t>　建设工程委托监理合同适用的法律是指国家的法律、行政法规，以及专用条件中议定的部门规章或工程所在地的地方法规、地方规章。</w:t>
      </w:r>
    </w:p>
    <w:p w14:paraId="5FCD179C">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第三条</w:t>
      </w:r>
      <w:r>
        <w:rPr>
          <w:rFonts w:hint="eastAsia" w:asciiTheme="minorEastAsia" w:hAnsiTheme="minorEastAsia" w:eastAsiaTheme="minorEastAsia" w:cstheme="minorEastAsia"/>
          <w:kern w:val="0"/>
          <w:sz w:val="21"/>
          <w:szCs w:val="16"/>
          <w:highlight w:val="none"/>
        </w:rPr>
        <w:t>　本合同文件使用汉语语言文字书写、解释和说明。如专用条件约定使用两种以上（含两种）语言文字时，汉语应为解释和说明本合同的标准语言文字。</w:t>
      </w:r>
    </w:p>
    <w:p w14:paraId="51DB5D5D">
      <w:pPr>
        <w:widowControl/>
        <w:adjustRightInd w:val="0"/>
        <w:snapToGrid w:val="0"/>
        <w:spacing w:line="360" w:lineRule="auto"/>
        <w:ind w:left="840" w:hanging="840"/>
        <w:jc w:val="center"/>
        <w:rPr>
          <w:rFonts w:hint="eastAsia" w:asciiTheme="minorEastAsia" w:hAnsiTheme="minorEastAsia" w:eastAsiaTheme="minorEastAsia" w:cstheme="minorEastAsia"/>
          <w:b/>
          <w:kern w:val="0"/>
          <w:sz w:val="21"/>
          <w:szCs w:val="16"/>
          <w:highlight w:val="none"/>
        </w:rPr>
      </w:pPr>
      <w:r>
        <w:rPr>
          <w:rFonts w:hint="eastAsia" w:asciiTheme="minorEastAsia" w:hAnsiTheme="minorEastAsia" w:eastAsiaTheme="minorEastAsia" w:cstheme="minorEastAsia"/>
          <w:b/>
          <w:kern w:val="0"/>
          <w:sz w:val="21"/>
          <w:szCs w:val="16"/>
          <w:highlight w:val="none"/>
        </w:rPr>
        <w:t>监理人义务</w:t>
      </w:r>
    </w:p>
    <w:p w14:paraId="118FC97E">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第四条</w:t>
      </w:r>
      <w:r>
        <w:rPr>
          <w:rFonts w:hint="eastAsia" w:asciiTheme="minorEastAsia" w:hAnsiTheme="minorEastAsia" w:eastAsiaTheme="minorEastAsia" w:cstheme="minorEastAsia"/>
          <w:kern w:val="0"/>
          <w:sz w:val="21"/>
          <w:szCs w:val="16"/>
          <w:highlight w:val="none"/>
        </w:rPr>
        <w:t>　监理人按合同约定派出监理工作需要的监理机构及监理人员，向采购人报送委派的总监理工程师及其监理机构主要成员名单、监理规划，完成监理合同专用条件中约定的监理工程范围内的监理业务。在履行合同义务期间，应按合同约定定期向采购人报告监理工作。</w:t>
      </w:r>
    </w:p>
    <w:p w14:paraId="07D06378">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第五条</w:t>
      </w:r>
      <w:r>
        <w:rPr>
          <w:rFonts w:hint="eastAsia" w:asciiTheme="minorEastAsia" w:hAnsiTheme="minorEastAsia" w:eastAsiaTheme="minorEastAsia" w:cstheme="minorEastAsia"/>
          <w:kern w:val="0"/>
          <w:sz w:val="21"/>
          <w:szCs w:val="16"/>
          <w:highlight w:val="none"/>
        </w:rPr>
        <w:t>　监理人在履行本合同的义务期间，应认真、勤奋地工作，为采购人提供可行、准确、合法有效的咨询意见，公正维护各方面的合法权益。</w:t>
      </w:r>
    </w:p>
    <w:p w14:paraId="6BC7409B">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第六条</w:t>
      </w:r>
      <w:r>
        <w:rPr>
          <w:rFonts w:hint="eastAsia" w:asciiTheme="minorEastAsia" w:hAnsiTheme="minorEastAsia" w:eastAsiaTheme="minorEastAsia" w:cstheme="minorEastAsia"/>
          <w:kern w:val="0"/>
          <w:sz w:val="21"/>
          <w:szCs w:val="16"/>
          <w:highlight w:val="none"/>
        </w:rPr>
        <w:t>　监理人使用采购人提供的设施和物品属采购人的财产。在监理工作完成或中止时，应将其设施和剩余的物品按合同约定的时间和方式移交给采购人。</w:t>
      </w:r>
    </w:p>
    <w:p w14:paraId="34B039FA">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第七条</w:t>
      </w:r>
      <w:r>
        <w:rPr>
          <w:rFonts w:hint="eastAsia" w:asciiTheme="minorEastAsia" w:hAnsiTheme="minorEastAsia" w:eastAsiaTheme="minorEastAsia" w:cstheme="minorEastAsia"/>
          <w:kern w:val="0"/>
          <w:sz w:val="21"/>
          <w:szCs w:val="16"/>
          <w:highlight w:val="none"/>
        </w:rPr>
        <w:t>　在合同期内或合同终止后，未征采购人同意，不得泄露与本工程、本合同业务有关的保密资料</w:t>
      </w:r>
      <w:r>
        <w:rPr>
          <w:rFonts w:hint="eastAsia" w:asciiTheme="minorEastAsia" w:hAnsiTheme="minorEastAsia" w:eastAsiaTheme="minorEastAsia" w:cstheme="minorEastAsia"/>
          <w:strike w:val="0"/>
          <w:dstrike w:val="0"/>
          <w:color w:val="auto"/>
          <w:kern w:val="0"/>
          <w:sz w:val="21"/>
          <w:szCs w:val="16"/>
          <w:highlight w:val="none"/>
          <w:u w:val="none"/>
          <w:shd w:val="clear" w:fill="auto"/>
        </w:rPr>
        <w:t>或</w:t>
      </w:r>
      <w:r>
        <w:rPr>
          <w:rFonts w:hint="eastAsia" w:asciiTheme="minorEastAsia" w:hAnsiTheme="minorEastAsia" w:eastAsiaTheme="minorEastAsia" w:cstheme="minorEastAsia"/>
          <w:kern w:val="0"/>
          <w:sz w:val="21"/>
          <w:szCs w:val="16"/>
          <w:highlight w:val="none"/>
        </w:rPr>
        <w:t>将本工程、本合同业务有关的资料用于非本合同的其他用途。</w:t>
      </w:r>
    </w:p>
    <w:p w14:paraId="479D5E15">
      <w:pPr>
        <w:widowControl/>
        <w:adjustRightInd w:val="0"/>
        <w:snapToGrid w:val="0"/>
        <w:spacing w:line="360" w:lineRule="auto"/>
        <w:ind w:left="840" w:hanging="840"/>
        <w:jc w:val="center"/>
        <w:rPr>
          <w:rFonts w:hint="eastAsia" w:asciiTheme="minorEastAsia" w:hAnsiTheme="minorEastAsia" w:eastAsiaTheme="minorEastAsia" w:cstheme="minorEastAsia"/>
          <w:b/>
          <w:kern w:val="0"/>
          <w:sz w:val="21"/>
          <w:szCs w:val="16"/>
          <w:highlight w:val="none"/>
        </w:rPr>
      </w:pPr>
      <w:r>
        <w:rPr>
          <w:rFonts w:hint="eastAsia" w:asciiTheme="minorEastAsia" w:hAnsiTheme="minorEastAsia" w:eastAsiaTheme="minorEastAsia" w:cstheme="minorEastAsia"/>
          <w:b/>
          <w:kern w:val="0"/>
          <w:sz w:val="21"/>
          <w:szCs w:val="16"/>
          <w:highlight w:val="none"/>
        </w:rPr>
        <w:t>采购人义务</w:t>
      </w:r>
    </w:p>
    <w:p w14:paraId="5743E731">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第八条</w:t>
      </w:r>
      <w:r>
        <w:rPr>
          <w:rFonts w:hint="eastAsia" w:asciiTheme="minorEastAsia" w:hAnsiTheme="minorEastAsia" w:eastAsiaTheme="minorEastAsia" w:cstheme="minorEastAsia"/>
          <w:kern w:val="0"/>
          <w:sz w:val="21"/>
          <w:szCs w:val="16"/>
          <w:highlight w:val="none"/>
        </w:rPr>
        <w:t>　采购人在监理人开展监理业务之前应向监理人支付预付款。</w:t>
      </w:r>
    </w:p>
    <w:p w14:paraId="5F3E2A05">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第九条</w:t>
      </w:r>
      <w:r>
        <w:rPr>
          <w:rFonts w:hint="eastAsia" w:asciiTheme="minorEastAsia" w:hAnsiTheme="minorEastAsia" w:eastAsiaTheme="minorEastAsia" w:cstheme="minorEastAsia"/>
          <w:kern w:val="0"/>
          <w:sz w:val="21"/>
          <w:szCs w:val="16"/>
          <w:highlight w:val="none"/>
        </w:rPr>
        <w:t>　采购人应当负责工程建设的所有外部关系的协调，为监理工作提供外部条件。根据需要，如将部分或全部协调工作委托监理人承担，则应在专用条件中明确委托的工作和相应的报酬。</w:t>
      </w:r>
    </w:p>
    <w:p w14:paraId="7DF14511">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第十条</w:t>
      </w:r>
      <w:r>
        <w:rPr>
          <w:rFonts w:hint="eastAsia" w:asciiTheme="minorEastAsia" w:hAnsiTheme="minorEastAsia" w:eastAsiaTheme="minorEastAsia" w:cstheme="minorEastAsia"/>
          <w:kern w:val="0"/>
          <w:sz w:val="21"/>
          <w:szCs w:val="16"/>
          <w:highlight w:val="none"/>
        </w:rPr>
        <w:t>　采购人应当在双方约定的时间内免费向监理人提供与工程有关的为监理工作所需要的工程资料。</w:t>
      </w:r>
    </w:p>
    <w:p w14:paraId="103D776F">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第十一条</w:t>
      </w:r>
      <w:r>
        <w:rPr>
          <w:rFonts w:hint="eastAsia" w:asciiTheme="minorEastAsia" w:hAnsiTheme="minorEastAsia" w:eastAsiaTheme="minorEastAsia" w:cstheme="minorEastAsia"/>
          <w:kern w:val="0"/>
          <w:sz w:val="21"/>
          <w:szCs w:val="16"/>
          <w:highlight w:val="none"/>
        </w:rPr>
        <w:t>　采购人应当在专用条款约定的时间内就监理人书面提交并要求就监理工作作出决定的相关事宜给予书面答复。</w:t>
      </w:r>
    </w:p>
    <w:p w14:paraId="0207E309">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第十二条</w:t>
      </w:r>
      <w:r>
        <w:rPr>
          <w:rFonts w:hint="eastAsia" w:asciiTheme="minorEastAsia" w:hAnsiTheme="minorEastAsia" w:eastAsiaTheme="minorEastAsia" w:cstheme="minorEastAsia"/>
          <w:kern w:val="0"/>
          <w:sz w:val="21"/>
          <w:szCs w:val="16"/>
          <w:highlight w:val="none"/>
        </w:rPr>
        <w:t>　采购人应当授权一名熟悉工程情况、能在规定时间内作出决定的常驻代表（在专用条款中约定），负责与监理人联系。更换常驻代表，要提前通知监理人。</w:t>
      </w:r>
    </w:p>
    <w:p w14:paraId="16156C64">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第十三条</w:t>
      </w:r>
      <w:r>
        <w:rPr>
          <w:rFonts w:hint="eastAsia" w:asciiTheme="minorEastAsia" w:hAnsiTheme="minorEastAsia" w:eastAsiaTheme="minorEastAsia" w:cstheme="minorEastAsia"/>
          <w:kern w:val="0"/>
          <w:sz w:val="21"/>
          <w:szCs w:val="16"/>
          <w:highlight w:val="none"/>
        </w:rPr>
        <w:t>　采购人应当将授予监理人的监理权利，以及监理人主要成员的职能分工、监理权限及时书面通知已选定的承包合同的承包人，并在与承包人签订的合同中予以明确。</w:t>
      </w:r>
    </w:p>
    <w:p w14:paraId="1F919B34">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第十四条</w:t>
      </w:r>
      <w:r>
        <w:rPr>
          <w:rFonts w:hint="eastAsia" w:asciiTheme="minorEastAsia" w:hAnsiTheme="minorEastAsia" w:eastAsiaTheme="minorEastAsia" w:cstheme="minorEastAsia"/>
          <w:kern w:val="0"/>
          <w:sz w:val="21"/>
          <w:szCs w:val="16"/>
          <w:highlight w:val="none"/>
        </w:rPr>
        <w:t>　采购人在不影响监理人开展监理工作的时间内，按照实际情况提供如下资料：</w:t>
      </w:r>
    </w:p>
    <w:p w14:paraId="27B4FE17">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（1）与本工程合作的原材料、构配件、机械设备等生产厂家名录。</w:t>
      </w:r>
    </w:p>
    <w:p w14:paraId="39A5C5E8">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（2）提供与本工程有关的协作单位、配合单位的名录。</w:t>
      </w:r>
    </w:p>
    <w:p w14:paraId="16DF3EB2">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第十五条</w:t>
      </w:r>
      <w:r>
        <w:rPr>
          <w:rFonts w:hint="eastAsia" w:asciiTheme="minorEastAsia" w:hAnsiTheme="minorEastAsia" w:eastAsiaTheme="minorEastAsia" w:cstheme="minorEastAsia"/>
          <w:kern w:val="0"/>
          <w:sz w:val="21"/>
          <w:szCs w:val="16"/>
          <w:highlight w:val="none"/>
        </w:rPr>
        <w:t>　采购人应免费向监理人提供办公用房或按合同专用条件约定的设施。</w:t>
      </w:r>
    </w:p>
    <w:p w14:paraId="3AC0BF40">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第十六条</w:t>
      </w:r>
      <w:r>
        <w:rPr>
          <w:rFonts w:hint="eastAsia" w:asciiTheme="minorEastAsia" w:hAnsiTheme="minorEastAsia" w:eastAsiaTheme="minorEastAsia" w:cstheme="minorEastAsia"/>
          <w:kern w:val="0"/>
          <w:sz w:val="21"/>
          <w:szCs w:val="16"/>
          <w:highlight w:val="none"/>
        </w:rPr>
        <w:t>　根据情况需要，如果双方约定由采购人免费向监理人提供其他人员从事本合同项下的相关工作，应在监理合同专用条件中予以明确。</w:t>
      </w:r>
    </w:p>
    <w:p w14:paraId="403E5C54">
      <w:pPr>
        <w:widowControl/>
        <w:adjustRightInd w:val="0"/>
        <w:snapToGrid w:val="0"/>
        <w:spacing w:line="360" w:lineRule="auto"/>
        <w:ind w:left="840" w:hanging="840"/>
        <w:jc w:val="center"/>
        <w:rPr>
          <w:rFonts w:hint="eastAsia" w:asciiTheme="minorEastAsia" w:hAnsiTheme="minorEastAsia" w:eastAsiaTheme="minorEastAsia" w:cstheme="minorEastAsia"/>
          <w:b/>
          <w:kern w:val="0"/>
          <w:sz w:val="21"/>
          <w:szCs w:val="16"/>
          <w:highlight w:val="none"/>
        </w:rPr>
      </w:pPr>
      <w:r>
        <w:rPr>
          <w:rFonts w:hint="eastAsia" w:asciiTheme="minorEastAsia" w:hAnsiTheme="minorEastAsia" w:eastAsiaTheme="minorEastAsia" w:cstheme="minorEastAsia"/>
          <w:b/>
          <w:kern w:val="0"/>
          <w:sz w:val="21"/>
          <w:szCs w:val="16"/>
          <w:highlight w:val="none"/>
        </w:rPr>
        <w:t>监理人权利</w:t>
      </w:r>
    </w:p>
    <w:p w14:paraId="1BB85BD2">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第十七条</w:t>
      </w:r>
      <w:r>
        <w:rPr>
          <w:rFonts w:hint="eastAsia" w:asciiTheme="minorEastAsia" w:hAnsiTheme="minorEastAsia" w:eastAsiaTheme="minorEastAsia" w:cstheme="minorEastAsia"/>
          <w:kern w:val="0"/>
          <w:sz w:val="21"/>
          <w:szCs w:val="16"/>
          <w:highlight w:val="none"/>
        </w:rPr>
        <w:t>　监理人在采购人委托的工程范围内，享有以下权利：</w:t>
      </w:r>
    </w:p>
    <w:p w14:paraId="191A2E44">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（1）选择工程总承包人的建议权。</w:t>
      </w:r>
    </w:p>
    <w:p w14:paraId="29B1B730">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（2）选择工程分包人的认可权。</w:t>
      </w:r>
    </w:p>
    <w:p w14:paraId="47AC8ACA">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（3）对工程建设有关事项包括工程规模、设计标准、规划设计、生产工艺设计和使用功能要求，向采购人的建议权。</w:t>
      </w:r>
    </w:p>
    <w:p w14:paraId="0C5187B7">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4）对工程设计中的技术问题，按照安全和优化的原则，向设计人提出建议；如果拟提出的建议可能会提高工程造价，或延长工期，应当事先征得采购人的同意。当发现工程设计不符合国家颁布的建设工程质量标准或设计合同约定的质量标准时，监理人应当立即书面报告采购人并要求设计人更正。</w:t>
      </w:r>
    </w:p>
    <w:p w14:paraId="7DC1E046">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（5）审批工程施工组织设计和技术方案，按照保质量、保工期和降低成本的原则，向承包人提出建议，并向采购人提出书面报告。</w:t>
      </w:r>
    </w:p>
    <w:p w14:paraId="1FE6E01E">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（6）主持工程建设有关协作单位的组织协调，重要协调事项应当事先向采购人报告，并经采购人同意后执行。</w:t>
      </w:r>
    </w:p>
    <w:p w14:paraId="1ED1B97D">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（7）征得采购人同意，监理人有权发布开工令、停工令、复工令，但应当事先向采购人报告。如在紧急情况下未能事先报告时，则应在24小时内向采购人作出书面报告。</w:t>
      </w:r>
    </w:p>
    <w:p w14:paraId="6CD776F2">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3CF961D2">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（9）工程施工进度的检查、监督权，以及工程实际竣工日期提前或超过工程施工合同规定的竣工期限的签认权。</w:t>
      </w:r>
    </w:p>
    <w:p w14:paraId="2255B5D4">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（10）在工程施工合同约定的工程价格范围内，工程款支付的审核和签认权，以及工程结算的复核确认权与否决权。未经总监理工程师签字确认，采购人不支付工程款。</w:t>
      </w:r>
    </w:p>
    <w:p w14:paraId="42CFA07B">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第十八条</w:t>
      </w:r>
      <w:r>
        <w:rPr>
          <w:rFonts w:hint="eastAsia" w:asciiTheme="minorEastAsia" w:hAnsiTheme="minorEastAsia" w:eastAsiaTheme="minorEastAsia" w:cstheme="minorEastAsia"/>
          <w:kern w:val="0"/>
          <w:sz w:val="21"/>
          <w:szCs w:val="16"/>
          <w:highlight w:val="none"/>
        </w:rPr>
        <w:t>　监理人在采购人同意下，可对承包人合同规定的义务提出变更。如果由此影响了工程费用或质量、或进度、工期，则这种变更须经采购人事先批准。在紧急情况下未能事先报采购人批准时，监理人所做的变更应在做出变更决定的24小时内通知采购人。在监理过程中如发现工程承包人人员工作不力，监理机构可要求承包人调换有关人员。</w:t>
      </w:r>
    </w:p>
    <w:p w14:paraId="176EFEAE">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第十九条</w:t>
      </w:r>
      <w:r>
        <w:rPr>
          <w:rFonts w:hint="eastAsia" w:asciiTheme="minorEastAsia" w:hAnsiTheme="minorEastAsia" w:eastAsiaTheme="minorEastAsia" w:cstheme="minorEastAsia"/>
          <w:kern w:val="0"/>
          <w:sz w:val="21"/>
          <w:szCs w:val="16"/>
          <w:highlight w:val="none"/>
        </w:rPr>
        <w:t>　在委托的工程范围内，采购人或承包人对对方的任何意见和要求（包括索赔要求），均必须首先向监理机构提出，由监理机构研究处置意见，再同双方协商确定。当采购人和承包人发生争议时，监理机构应根据自己的职能，以独立的身份判断，公正地进行调解。当双方的争议由政府建设行政主管部门调解或仲裁机关仲裁时，应当提供作证的事实材料。</w:t>
      </w:r>
    </w:p>
    <w:p w14:paraId="54465769">
      <w:pPr>
        <w:widowControl/>
        <w:adjustRightInd w:val="0"/>
        <w:snapToGrid w:val="0"/>
        <w:spacing w:line="360" w:lineRule="auto"/>
        <w:ind w:left="840" w:hanging="840"/>
        <w:jc w:val="center"/>
        <w:rPr>
          <w:rFonts w:hint="eastAsia" w:asciiTheme="minorEastAsia" w:hAnsiTheme="minorEastAsia" w:eastAsiaTheme="minorEastAsia" w:cstheme="minorEastAsia"/>
          <w:b/>
          <w:kern w:val="0"/>
          <w:sz w:val="21"/>
          <w:szCs w:val="16"/>
          <w:highlight w:val="none"/>
        </w:rPr>
      </w:pPr>
      <w:r>
        <w:rPr>
          <w:rFonts w:hint="eastAsia" w:asciiTheme="minorEastAsia" w:hAnsiTheme="minorEastAsia" w:eastAsiaTheme="minorEastAsia" w:cstheme="minorEastAsia"/>
          <w:b/>
          <w:kern w:val="0"/>
          <w:sz w:val="21"/>
          <w:szCs w:val="16"/>
          <w:highlight w:val="none"/>
        </w:rPr>
        <w:t>采购人权利</w:t>
      </w:r>
    </w:p>
    <w:p w14:paraId="04A181F8">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第二十条　</w:t>
      </w:r>
      <w:r>
        <w:rPr>
          <w:rFonts w:hint="eastAsia" w:asciiTheme="minorEastAsia" w:hAnsiTheme="minorEastAsia" w:eastAsiaTheme="minorEastAsia" w:cstheme="minorEastAsia"/>
          <w:kern w:val="0"/>
          <w:sz w:val="21"/>
          <w:szCs w:val="16"/>
          <w:highlight w:val="none"/>
        </w:rPr>
        <w:t>采购人有选定工程总承包人，以及与其订立合同的权利。</w:t>
      </w:r>
    </w:p>
    <w:p w14:paraId="5971DCB6">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第二十一条</w:t>
      </w:r>
      <w:r>
        <w:rPr>
          <w:rFonts w:hint="eastAsia" w:asciiTheme="minorEastAsia" w:hAnsiTheme="minorEastAsia" w:eastAsiaTheme="minorEastAsia" w:cstheme="minorEastAsia"/>
          <w:kern w:val="0"/>
          <w:sz w:val="21"/>
          <w:szCs w:val="16"/>
          <w:highlight w:val="none"/>
        </w:rPr>
        <w:t>　采购人有对工程规模、设计标准、规划设计、生产工艺设计和设计使用功能要求的认定权，以及对工程设计变更的审批权。</w:t>
      </w:r>
    </w:p>
    <w:p w14:paraId="7B70389E">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第二十二条</w:t>
      </w:r>
      <w:r>
        <w:rPr>
          <w:rFonts w:hint="eastAsia" w:asciiTheme="minorEastAsia" w:hAnsiTheme="minorEastAsia" w:eastAsiaTheme="minorEastAsia" w:cstheme="minorEastAsia"/>
          <w:kern w:val="0"/>
          <w:sz w:val="21"/>
          <w:szCs w:val="16"/>
          <w:highlight w:val="none"/>
        </w:rPr>
        <w:t>　监理人调换总监理工程师须事先经采购人同意。</w:t>
      </w:r>
    </w:p>
    <w:p w14:paraId="5DDEC092">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第二十三条　</w:t>
      </w:r>
      <w:r>
        <w:rPr>
          <w:rFonts w:hint="eastAsia" w:asciiTheme="minorEastAsia" w:hAnsiTheme="minorEastAsia" w:eastAsiaTheme="minorEastAsia" w:cstheme="minorEastAsia"/>
          <w:kern w:val="0"/>
          <w:sz w:val="21"/>
          <w:szCs w:val="16"/>
          <w:highlight w:val="none"/>
        </w:rPr>
        <w:t>采购人有权要求监理人提交监理工作月报及监理业务范围内的专项报告。</w:t>
      </w:r>
    </w:p>
    <w:p w14:paraId="2158FDDC">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第二十四条</w:t>
      </w:r>
      <w:r>
        <w:rPr>
          <w:rFonts w:hint="eastAsia" w:asciiTheme="minorEastAsia" w:hAnsiTheme="minorEastAsia" w:eastAsiaTheme="minorEastAsia" w:cstheme="minorEastAsia"/>
          <w:kern w:val="0"/>
          <w:sz w:val="21"/>
          <w:szCs w:val="16"/>
          <w:highlight w:val="none"/>
        </w:rPr>
        <w:t>　当采购人发现监理人员不按监理合同履行监理职责，或与承包人串通或因工作疏忽给采购人或工程造成损失的，采购人有权要求监理人更换监理人员，直到终止合同并要求监理人承担相应的赔偿责任或连带赔偿责任。</w:t>
      </w:r>
    </w:p>
    <w:p w14:paraId="2DDE82C1">
      <w:pPr>
        <w:widowControl/>
        <w:adjustRightInd w:val="0"/>
        <w:snapToGrid w:val="0"/>
        <w:spacing w:line="360" w:lineRule="auto"/>
        <w:ind w:left="840" w:hanging="840"/>
        <w:jc w:val="center"/>
        <w:rPr>
          <w:rFonts w:hint="eastAsia" w:asciiTheme="minorEastAsia" w:hAnsiTheme="minorEastAsia" w:eastAsiaTheme="minorEastAsia" w:cstheme="minorEastAsia"/>
          <w:b/>
          <w:kern w:val="0"/>
          <w:sz w:val="21"/>
          <w:szCs w:val="16"/>
          <w:highlight w:val="none"/>
        </w:rPr>
      </w:pPr>
      <w:r>
        <w:rPr>
          <w:rFonts w:hint="eastAsia" w:asciiTheme="minorEastAsia" w:hAnsiTheme="minorEastAsia" w:eastAsiaTheme="minorEastAsia" w:cstheme="minorEastAsia"/>
          <w:b/>
          <w:kern w:val="0"/>
          <w:sz w:val="21"/>
          <w:szCs w:val="16"/>
          <w:highlight w:val="none"/>
        </w:rPr>
        <w:t>监理人责任</w:t>
      </w:r>
    </w:p>
    <w:p w14:paraId="4985FAB2">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第二十五条　</w:t>
      </w:r>
      <w:r>
        <w:rPr>
          <w:rFonts w:hint="eastAsia" w:asciiTheme="minorEastAsia" w:hAnsiTheme="minorEastAsia" w:eastAsiaTheme="minorEastAsia" w:cstheme="minorEastAsia"/>
          <w:kern w:val="0"/>
          <w:sz w:val="21"/>
          <w:szCs w:val="16"/>
          <w:highlight w:val="none"/>
        </w:rPr>
        <w:t>监理人的责任期即委托监理合同有效期。在监理过程中，如果因工程建设进度的推迟或延误而超过书面约定的日期，双方应进一步约定相应延长的合同期。</w:t>
      </w:r>
    </w:p>
    <w:p w14:paraId="7B5B2442">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第二十六条</w:t>
      </w:r>
      <w:r>
        <w:rPr>
          <w:rFonts w:hint="eastAsia" w:asciiTheme="minorEastAsia" w:hAnsiTheme="minorEastAsia" w:eastAsiaTheme="minorEastAsia" w:cstheme="minorEastAsia"/>
          <w:kern w:val="0"/>
          <w:sz w:val="21"/>
          <w:szCs w:val="16"/>
          <w:highlight w:val="none"/>
        </w:rPr>
        <w:t>　监理人在责任期内，应当履行约定的义务，如果因监理人过失而造成了采购人的经济损失，应当向采购人赔偿。</w:t>
      </w:r>
    </w:p>
    <w:p w14:paraId="051452CE">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第二十七条　</w:t>
      </w:r>
      <w:r>
        <w:rPr>
          <w:rFonts w:hint="eastAsia" w:asciiTheme="minorEastAsia" w:hAnsiTheme="minorEastAsia" w:eastAsiaTheme="minorEastAsia" w:cstheme="minorEastAsia"/>
          <w:kern w:val="0"/>
          <w:sz w:val="21"/>
          <w:szCs w:val="16"/>
          <w:highlight w:val="none"/>
        </w:rPr>
        <w:t>因不可抗力导致委托监理合同不能全部或部分履行，监理人不承担责任。但对违反第五条规定引起的与之有关的事宜，向采购人承担赔偿责任。</w:t>
      </w:r>
    </w:p>
    <w:p w14:paraId="1E96C775">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第二十八条</w:t>
      </w:r>
      <w:r>
        <w:rPr>
          <w:rFonts w:hint="eastAsia" w:asciiTheme="minorEastAsia" w:hAnsiTheme="minorEastAsia" w:eastAsiaTheme="minorEastAsia" w:cstheme="minorEastAsia"/>
          <w:kern w:val="0"/>
          <w:sz w:val="21"/>
          <w:szCs w:val="16"/>
          <w:highlight w:val="none"/>
        </w:rPr>
        <w:t>　监理人向采购人提出赔偿要求不能成立时，监理人应当补偿由于该索赔所导致采购人的各种费用支出。</w:t>
      </w:r>
    </w:p>
    <w:p w14:paraId="5DC8AD2E">
      <w:pPr>
        <w:widowControl/>
        <w:adjustRightInd w:val="0"/>
        <w:snapToGrid w:val="0"/>
        <w:spacing w:line="360" w:lineRule="auto"/>
        <w:ind w:left="840" w:hanging="840"/>
        <w:jc w:val="center"/>
        <w:rPr>
          <w:rFonts w:hint="eastAsia" w:asciiTheme="minorEastAsia" w:hAnsiTheme="minorEastAsia" w:eastAsiaTheme="minorEastAsia" w:cstheme="minorEastAsia"/>
          <w:b/>
          <w:kern w:val="0"/>
          <w:sz w:val="21"/>
          <w:szCs w:val="16"/>
          <w:highlight w:val="none"/>
        </w:rPr>
      </w:pPr>
      <w:r>
        <w:rPr>
          <w:rFonts w:hint="eastAsia" w:asciiTheme="minorEastAsia" w:hAnsiTheme="minorEastAsia" w:eastAsiaTheme="minorEastAsia" w:cstheme="minorEastAsia"/>
          <w:b/>
          <w:kern w:val="0"/>
          <w:sz w:val="21"/>
          <w:szCs w:val="16"/>
          <w:highlight w:val="none"/>
        </w:rPr>
        <w:t>采购人责任</w:t>
      </w:r>
    </w:p>
    <w:p w14:paraId="12A9F1AC">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第二十九条</w:t>
      </w:r>
      <w:r>
        <w:rPr>
          <w:rFonts w:hint="eastAsia" w:asciiTheme="minorEastAsia" w:hAnsiTheme="minorEastAsia" w:eastAsiaTheme="minorEastAsia" w:cstheme="minorEastAsia"/>
          <w:kern w:val="0"/>
          <w:sz w:val="21"/>
          <w:szCs w:val="16"/>
          <w:highlight w:val="none"/>
        </w:rPr>
        <w:t>　采购人应当履行委托监理合同约定的义务，如有违反则应当承担违约责任，赔偿给监理人造成的经济损失。</w:t>
      </w:r>
    </w:p>
    <w:p w14:paraId="7E65491F">
      <w:pPr>
        <w:widowControl/>
        <w:adjustRightInd w:val="0"/>
        <w:snapToGrid w:val="0"/>
        <w:spacing w:line="360" w:lineRule="auto"/>
        <w:ind w:left="835" w:leftChars="398"/>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监理人处理委托业务时，因非监理人原因的事由受到损失的，可以向采购人要求补偿损失。</w:t>
      </w:r>
    </w:p>
    <w:p w14:paraId="47209525">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第三十条</w:t>
      </w:r>
      <w:r>
        <w:rPr>
          <w:rFonts w:hint="eastAsia" w:asciiTheme="minorEastAsia" w:hAnsiTheme="minorEastAsia" w:eastAsiaTheme="minorEastAsia" w:cstheme="minorEastAsia"/>
          <w:kern w:val="0"/>
          <w:sz w:val="21"/>
          <w:szCs w:val="16"/>
          <w:highlight w:val="none"/>
        </w:rPr>
        <w:t>　采购人如果向监理人提出赔偿的要求不能成立，则应当补偿由该索赔所引起的监理人的各种费用支出。</w:t>
      </w:r>
    </w:p>
    <w:p w14:paraId="4A53F28B">
      <w:pPr>
        <w:widowControl/>
        <w:adjustRightInd w:val="0"/>
        <w:snapToGrid w:val="0"/>
        <w:spacing w:line="360" w:lineRule="auto"/>
        <w:ind w:left="840" w:hanging="840"/>
        <w:jc w:val="left"/>
        <w:rPr>
          <w:rFonts w:hint="eastAsia" w:asciiTheme="minorEastAsia" w:hAnsiTheme="minorEastAsia" w:eastAsiaTheme="minorEastAsia" w:cstheme="minorEastAsia"/>
          <w:b/>
          <w:kern w:val="0"/>
          <w:sz w:val="21"/>
          <w:szCs w:val="16"/>
          <w:highlight w:val="none"/>
        </w:rPr>
      </w:pPr>
      <w:r>
        <w:rPr>
          <w:rFonts w:hint="eastAsia" w:asciiTheme="minorEastAsia" w:hAnsiTheme="minorEastAsia" w:eastAsiaTheme="minorEastAsia" w:cstheme="minorEastAsia"/>
          <w:b/>
          <w:kern w:val="0"/>
          <w:sz w:val="21"/>
          <w:szCs w:val="16"/>
          <w:highlight w:val="none"/>
        </w:rPr>
        <w:t>合同生效、变更与终止</w:t>
      </w:r>
    </w:p>
    <w:p w14:paraId="2598D40F">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第三十一条</w:t>
      </w:r>
      <w:r>
        <w:rPr>
          <w:rFonts w:hint="eastAsia" w:asciiTheme="minorEastAsia" w:hAnsiTheme="minorEastAsia" w:eastAsiaTheme="minorEastAsia" w:cstheme="minorEastAsia"/>
          <w:kern w:val="0"/>
          <w:sz w:val="21"/>
          <w:szCs w:val="16"/>
          <w:highlight w:val="none"/>
        </w:rPr>
        <w:t>　由于采购人或承包人的原因使监理工作受到阻碍或延误或增加工程量，以致发生了附加工作或延长了持续时间，则监理人应当将此情况与可能产生的影响在上述情形发生之日起24小时内通知采购人。监理人完成监理业务的时间相应延长，并得到附加工作的报酬。</w:t>
      </w:r>
    </w:p>
    <w:p w14:paraId="1B0F0850">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第三十二条</w:t>
      </w:r>
      <w:r>
        <w:rPr>
          <w:rFonts w:hint="eastAsia" w:asciiTheme="minorEastAsia" w:hAnsiTheme="minorEastAsia" w:eastAsiaTheme="minorEastAsia" w:cstheme="minorEastAsia"/>
          <w:kern w:val="0"/>
          <w:sz w:val="21"/>
          <w:szCs w:val="16"/>
          <w:highlight w:val="none"/>
        </w:rPr>
        <w:t>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14:paraId="02F562D3">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第三十三条</w:t>
      </w:r>
      <w:r>
        <w:rPr>
          <w:rFonts w:hint="eastAsia" w:asciiTheme="minorEastAsia" w:hAnsiTheme="minorEastAsia" w:eastAsiaTheme="minorEastAsia" w:cstheme="minorEastAsia"/>
          <w:kern w:val="0"/>
          <w:sz w:val="21"/>
          <w:szCs w:val="16"/>
          <w:highlight w:val="none"/>
        </w:rPr>
        <w:t>　监理人向采购人办理完竣工验收或工程移交手续，承包人和采购人已签订工程保修责任书，监理人收到监理报酬尾款，本合同即终止。保修期间的责任，双方在专用条款中约定。</w:t>
      </w:r>
    </w:p>
    <w:p w14:paraId="79C0E841">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第三十四条</w:t>
      </w:r>
      <w:r>
        <w:rPr>
          <w:rFonts w:hint="eastAsia" w:asciiTheme="minorEastAsia" w:hAnsiTheme="minorEastAsia" w:eastAsiaTheme="minorEastAsia" w:cstheme="minorEastAsia"/>
          <w:kern w:val="0"/>
          <w:sz w:val="21"/>
          <w:szCs w:val="16"/>
          <w:highlight w:val="none"/>
        </w:rPr>
        <w:t>　当事人一方要求变更或解除合同时，应当提前42日通知对方，因解除合同使一方遭受损失的，除依法可以免除责任外，应由责任方负责赔偿。</w:t>
      </w:r>
    </w:p>
    <w:p w14:paraId="690942A0">
      <w:pPr>
        <w:widowControl/>
        <w:adjustRightInd w:val="0"/>
        <w:snapToGrid w:val="0"/>
        <w:spacing w:line="360" w:lineRule="auto"/>
        <w:ind w:left="835" w:leftChars="398"/>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变更或解除合同的通知或协议必须采取书面形式，协议未达成之前，原合同仍然有效。</w:t>
      </w:r>
    </w:p>
    <w:p w14:paraId="3B1B5907">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第三十五条</w:t>
      </w:r>
      <w:r>
        <w:rPr>
          <w:rFonts w:hint="eastAsia" w:asciiTheme="minorEastAsia" w:hAnsiTheme="minorEastAsia" w:eastAsiaTheme="minorEastAsia" w:cstheme="minorEastAsia"/>
          <w:kern w:val="0"/>
          <w:sz w:val="21"/>
          <w:szCs w:val="16"/>
          <w:highlight w:val="none"/>
        </w:rPr>
        <w:t>　监理人在应当获得监理报酬之日起30日内仍未收到支付单据，而采购人又未对监理人提出任何书面解释时，或根据第三十三条及第三十四条已暂停执行监理业务时间超过六个月的，监理人可向采购人发出终止合同的通知，发出通知后14日内仍未得到采购人答复，可进一步发出终止合同的通知，如果第二份通知发出后42日内仍未得到采购人答复，可终止合同或自行暂停或继续暂停执行全部或部分监理业务，采购人承担违约责任。</w:t>
      </w:r>
    </w:p>
    <w:p w14:paraId="1E92F44E">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第三十六条</w:t>
      </w:r>
      <w:r>
        <w:rPr>
          <w:rFonts w:hint="eastAsia" w:asciiTheme="minorEastAsia" w:hAnsiTheme="minorEastAsia" w:eastAsiaTheme="minorEastAsia" w:cstheme="minorEastAsia"/>
          <w:kern w:val="0"/>
          <w:sz w:val="21"/>
          <w:szCs w:val="16"/>
          <w:highlight w:val="none"/>
        </w:rPr>
        <w:t>　监理人由于非自己的原因而暂停或终止执行监理业务，其善后工作以及恢复执行监理业务的工作，应当视为额外工作，有权得到额外的报酬。</w:t>
      </w:r>
    </w:p>
    <w:p w14:paraId="5A6AC53F">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第三十七条</w:t>
      </w:r>
      <w:r>
        <w:rPr>
          <w:rFonts w:hint="eastAsia" w:asciiTheme="minorEastAsia" w:hAnsiTheme="minorEastAsia" w:eastAsiaTheme="minorEastAsia" w:cstheme="minorEastAsia"/>
          <w:kern w:val="0"/>
          <w:sz w:val="21"/>
          <w:szCs w:val="16"/>
          <w:highlight w:val="none"/>
        </w:rPr>
        <w:t>　当采购人认为监理人无正当理由而又未履行监理义务时，可向监理人发出指明其未履行义务的通知。若采购人发出通知后21日内没有收到答复，可在第一个通知发出后35日内发出终止委托监理合同的通知，合同即行终止，监理人承担违约责任。</w:t>
      </w:r>
    </w:p>
    <w:p w14:paraId="3CC94AAF">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第三十八条</w:t>
      </w:r>
      <w:r>
        <w:rPr>
          <w:rFonts w:hint="eastAsia" w:asciiTheme="minorEastAsia" w:hAnsiTheme="minorEastAsia" w:eastAsiaTheme="minorEastAsia" w:cstheme="minorEastAsia"/>
          <w:kern w:val="0"/>
          <w:sz w:val="21"/>
          <w:szCs w:val="16"/>
          <w:highlight w:val="none"/>
        </w:rPr>
        <w:t>　合同协议的终止并不影响各方应有的权利和应当承担的责任。</w:t>
      </w:r>
    </w:p>
    <w:p w14:paraId="63D0BB62">
      <w:pPr>
        <w:widowControl/>
        <w:adjustRightInd w:val="0"/>
        <w:snapToGrid w:val="0"/>
        <w:spacing w:line="360" w:lineRule="auto"/>
        <w:ind w:left="840" w:hanging="840"/>
        <w:jc w:val="center"/>
        <w:rPr>
          <w:rFonts w:hint="eastAsia" w:asciiTheme="minorEastAsia" w:hAnsiTheme="minorEastAsia" w:eastAsiaTheme="minorEastAsia" w:cstheme="minorEastAsia"/>
          <w:b/>
          <w:kern w:val="0"/>
          <w:sz w:val="21"/>
          <w:szCs w:val="16"/>
          <w:highlight w:val="none"/>
        </w:rPr>
      </w:pPr>
      <w:r>
        <w:rPr>
          <w:rFonts w:hint="eastAsia" w:asciiTheme="minorEastAsia" w:hAnsiTheme="minorEastAsia" w:eastAsiaTheme="minorEastAsia" w:cstheme="minorEastAsia"/>
          <w:b/>
          <w:kern w:val="0"/>
          <w:sz w:val="21"/>
          <w:szCs w:val="16"/>
          <w:highlight w:val="none"/>
        </w:rPr>
        <w:t>监理报酬</w:t>
      </w:r>
    </w:p>
    <w:p w14:paraId="37594AB6">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第三十九条</w:t>
      </w:r>
      <w:r>
        <w:rPr>
          <w:rFonts w:hint="eastAsia" w:asciiTheme="minorEastAsia" w:hAnsiTheme="minorEastAsia" w:eastAsiaTheme="minorEastAsia" w:cstheme="minorEastAsia"/>
          <w:kern w:val="0"/>
          <w:sz w:val="21"/>
          <w:szCs w:val="16"/>
          <w:highlight w:val="none"/>
        </w:rPr>
        <w:t>　正常的监理工作、附加工作和额外工作的报酬，按照监理合同专用条件中的方法计算</w:t>
      </w:r>
      <w:r>
        <w:rPr>
          <w:rFonts w:hint="eastAsia" w:asciiTheme="minorEastAsia" w:hAnsiTheme="minorEastAsia" w:eastAsiaTheme="minorEastAsia" w:cstheme="minorEastAsia"/>
          <w:kern w:val="0"/>
          <w:sz w:val="21"/>
          <w:szCs w:val="16"/>
          <w:highlight w:val="none"/>
        </w:rPr>
        <w:t>（详见专用条件8.1）</w:t>
      </w:r>
      <w:r>
        <w:rPr>
          <w:rFonts w:hint="eastAsia" w:asciiTheme="minorEastAsia" w:hAnsiTheme="minorEastAsia" w:eastAsiaTheme="minorEastAsia" w:cstheme="minorEastAsia"/>
          <w:kern w:val="0"/>
          <w:sz w:val="21"/>
          <w:szCs w:val="16"/>
          <w:highlight w:val="none"/>
        </w:rPr>
        <w:t>，并按约定的时间和数额支付。</w:t>
      </w:r>
    </w:p>
    <w:p w14:paraId="7E7AFD03">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第四十条</w:t>
      </w:r>
      <w:r>
        <w:rPr>
          <w:rFonts w:hint="eastAsia" w:asciiTheme="minorEastAsia" w:hAnsiTheme="minorEastAsia" w:eastAsiaTheme="minorEastAsia" w:cstheme="minorEastAsia"/>
          <w:kern w:val="0"/>
          <w:sz w:val="21"/>
          <w:szCs w:val="16"/>
          <w:highlight w:val="none"/>
        </w:rPr>
        <w:t>　如果采购人在规定的支付期限内未支付监理报酬，自规定之日起，还应向监理人支付滞纳金。滞纳金从规定支付期限最后一日起计算。</w:t>
      </w:r>
    </w:p>
    <w:p w14:paraId="06BE89E6">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第四十一条</w:t>
      </w:r>
      <w:r>
        <w:rPr>
          <w:rFonts w:hint="eastAsia" w:asciiTheme="minorEastAsia" w:hAnsiTheme="minorEastAsia" w:eastAsiaTheme="minorEastAsia" w:cstheme="minorEastAsia"/>
          <w:kern w:val="0"/>
          <w:sz w:val="21"/>
          <w:szCs w:val="16"/>
          <w:highlight w:val="none"/>
        </w:rPr>
        <w:t>　支付监理报酬所采取的货币币种、汇率由合同专用条件约定。</w:t>
      </w:r>
    </w:p>
    <w:p w14:paraId="2E25A403">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第四十二条</w:t>
      </w:r>
      <w:r>
        <w:rPr>
          <w:rFonts w:hint="eastAsia" w:asciiTheme="minorEastAsia" w:hAnsiTheme="minorEastAsia" w:eastAsiaTheme="minorEastAsia" w:cstheme="minorEastAsia"/>
          <w:kern w:val="0"/>
          <w:sz w:val="21"/>
          <w:szCs w:val="16"/>
          <w:highlight w:val="none"/>
        </w:rPr>
        <w:t>　如果采购人对监理人提交的支付通知中报酬或部分报酬项目提出异议，应当在收到支付通知书24小时内向监理人发出表示异议的通知，但采购人不得拖延其他无异议报酬项目的支付。</w:t>
      </w:r>
    </w:p>
    <w:p w14:paraId="4C62874E">
      <w:pPr>
        <w:widowControl/>
        <w:adjustRightInd w:val="0"/>
        <w:snapToGrid w:val="0"/>
        <w:spacing w:line="360" w:lineRule="auto"/>
        <w:ind w:left="840" w:hanging="840"/>
        <w:jc w:val="center"/>
        <w:rPr>
          <w:rFonts w:hint="eastAsia" w:asciiTheme="minorEastAsia" w:hAnsiTheme="minorEastAsia" w:eastAsiaTheme="minorEastAsia" w:cstheme="minorEastAsia"/>
          <w:b/>
          <w:kern w:val="0"/>
          <w:sz w:val="21"/>
          <w:szCs w:val="16"/>
          <w:highlight w:val="none"/>
        </w:rPr>
      </w:pPr>
      <w:r>
        <w:rPr>
          <w:rFonts w:hint="eastAsia" w:asciiTheme="minorEastAsia" w:hAnsiTheme="minorEastAsia" w:eastAsiaTheme="minorEastAsia" w:cstheme="minorEastAsia"/>
          <w:b/>
          <w:kern w:val="0"/>
          <w:sz w:val="21"/>
          <w:szCs w:val="16"/>
          <w:highlight w:val="none"/>
        </w:rPr>
        <w:t>其 他</w:t>
      </w:r>
    </w:p>
    <w:p w14:paraId="01C49274">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第四十三条　</w:t>
      </w:r>
      <w:r>
        <w:rPr>
          <w:rFonts w:hint="eastAsia" w:asciiTheme="minorEastAsia" w:hAnsiTheme="minorEastAsia" w:eastAsiaTheme="minorEastAsia" w:cstheme="minorEastAsia"/>
          <w:kern w:val="0"/>
          <w:sz w:val="21"/>
          <w:szCs w:val="16"/>
          <w:highlight w:val="none"/>
        </w:rPr>
        <w:t>委托的建设工程监理所必要的监理人员出外考察、材料设备复试，其费用支出经采购人同意的，在预算范围内由采购人实报实销。</w:t>
      </w:r>
    </w:p>
    <w:p w14:paraId="0CC9C340">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第四十四条</w:t>
      </w:r>
      <w:r>
        <w:rPr>
          <w:rFonts w:hint="eastAsia" w:asciiTheme="minorEastAsia" w:hAnsiTheme="minorEastAsia" w:eastAsiaTheme="minorEastAsia" w:cstheme="minorEastAsia"/>
          <w:kern w:val="0"/>
          <w:sz w:val="21"/>
          <w:szCs w:val="16"/>
          <w:highlight w:val="none"/>
        </w:rPr>
        <w:t>　在监理业务范围内，如需聘用专家咨询或协助，由监理人聘用的，其费用由监理人承担；由采购人聘用的，其费用由采购人承担。</w:t>
      </w:r>
    </w:p>
    <w:p w14:paraId="6FF51A3C">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第四十五条</w:t>
      </w:r>
      <w:r>
        <w:rPr>
          <w:rFonts w:hint="eastAsia" w:asciiTheme="minorEastAsia" w:hAnsiTheme="minorEastAsia" w:eastAsiaTheme="minorEastAsia" w:cstheme="minorEastAsia"/>
          <w:kern w:val="0"/>
          <w:sz w:val="21"/>
          <w:szCs w:val="16"/>
          <w:highlight w:val="none"/>
        </w:rPr>
        <w:t>　监理人在监理工作过程中提出的合理化建议，使采购人得到了经济效益，采购人应按专用条件中的约定给予经济奖励。</w:t>
      </w:r>
    </w:p>
    <w:p w14:paraId="513F8379">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第四十六条</w:t>
      </w:r>
      <w:r>
        <w:rPr>
          <w:rFonts w:hint="eastAsia" w:asciiTheme="minorEastAsia" w:hAnsiTheme="minorEastAsia" w:eastAsiaTheme="minorEastAsia" w:cstheme="minorEastAsia"/>
          <w:kern w:val="0"/>
          <w:sz w:val="21"/>
          <w:szCs w:val="16"/>
          <w:highlight w:val="none"/>
        </w:rPr>
        <w:t>　监理人驻地监理机构及其职员不得接受监理工程项目施工承包人的任何报酬或者经济利益。</w:t>
      </w:r>
    </w:p>
    <w:p w14:paraId="391577A7">
      <w:pPr>
        <w:widowControl/>
        <w:adjustRightInd w:val="0"/>
        <w:snapToGrid w:val="0"/>
        <w:spacing w:line="360" w:lineRule="auto"/>
        <w:ind w:left="835" w:leftChars="398"/>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监理人不得参与可能与合同规定的与采购人的利益相冲突的任何活动。</w:t>
      </w:r>
    </w:p>
    <w:p w14:paraId="09DDA3AE">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第四十七条</w:t>
      </w:r>
      <w:r>
        <w:rPr>
          <w:rFonts w:hint="eastAsia" w:asciiTheme="minorEastAsia" w:hAnsiTheme="minorEastAsia" w:eastAsiaTheme="minorEastAsia" w:cstheme="minorEastAsia"/>
          <w:kern w:val="0"/>
          <w:sz w:val="21"/>
          <w:szCs w:val="16"/>
          <w:highlight w:val="none"/>
        </w:rPr>
        <w:t>　监理人在监理过程中，不得泄露采购人申明的秘密、资料，监理人亦不得泄露设计人、承包人等提供并申明的秘密、资料。</w:t>
      </w:r>
    </w:p>
    <w:p w14:paraId="36432067">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第四十八条</w:t>
      </w:r>
      <w:r>
        <w:rPr>
          <w:rFonts w:hint="eastAsia" w:asciiTheme="minorEastAsia" w:hAnsiTheme="minorEastAsia" w:eastAsiaTheme="minorEastAsia" w:cstheme="minorEastAsia"/>
          <w:kern w:val="0"/>
          <w:sz w:val="21"/>
          <w:szCs w:val="16"/>
          <w:highlight w:val="none"/>
        </w:rPr>
        <w:t>　监理人对于由其编制的所有文件拥有版权，采购人仅有权为本工程免费使用或复制此类文件。</w:t>
      </w:r>
    </w:p>
    <w:p w14:paraId="2A318858">
      <w:pPr>
        <w:widowControl/>
        <w:adjustRightInd w:val="0"/>
        <w:snapToGrid w:val="0"/>
        <w:spacing w:line="360" w:lineRule="auto"/>
        <w:ind w:left="840" w:hanging="840"/>
        <w:jc w:val="center"/>
        <w:rPr>
          <w:rFonts w:hint="eastAsia" w:asciiTheme="minorEastAsia" w:hAnsiTheme="minorEastAsia" w:eastAsiaTheme="minorEastAsia" w:cstheme="minorEastAsia"/>
          <w:b/>
          <w:bCs/>
          <w:kern w:val="0"/>
          <w:sz w:val="21"/>
          <w:szCs w:val="16"/>
          <w:highlight w:val="none"/>
        </w:rPr>
      </w:pPr>
      <w:r>
        <w:rPr>
          <w:rFonts w:hint="eastAsia" w:asciiTheme="minorEastAsia" w:hAnsiTheme="minorEastAsia" w:eastAsiaTheme="minorEastAsia" w:cstheme="minorEastAsia"/>
          <w:b/>
          <w:bCs/>
          <w:kern w:val="0"/>
          <w:sz w:val="21"/>
          <w:szCs w:val="16"/>
          <w:highlight w:val="none"/>
        </w:rPr>
        <w:t>争议的解决</w:t>
      </w:r>
    </w:p>
    <w:p w14:paraId="2C074800">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kern w:val="0"/>
          <w:sz w:val="21"/>
          <w:szCs w:val="16"/>
          <w:highlight w:val="none"/>
        </w:rPr>
        <w:t>第四十九条</w:t>
      </w:r>
      <w:r>
        <w:rPr>
          <w:rFonts w:hint="eastAsia" w:asciiTheme="minorEastAsia" w:hAnsiTheme="minorEastAsia" w:eastAsiaTheme="minorEastAsia" w:cstheme="minorEastAsia"/>
          <w:kern w:val="0"/>
          <w:sz w:val="21"/>
          <w:szCs w:val="16"/>
          <w:highlight w:val="none"/>
        </w:rPr>
        <w:t>　因履行本合同发生的争议，由当事人协商解决，协商不成的，可提交主管部门协调，如仍未能达成一致时，根据双方约定提交仲裁机关仲裁，或向有管辖权的人民法院起诉。　</w:t>
      </w:r>
    </w:p>
    <w:p w14:paraId="24A568CB">
      <w:pPr>
        <w:pStyle w:val="2"/>
        <w:rPr>
          <w:rFonts w:hint="eastAsia"/>
          <w:highlight w:val="none"/>
          <w:lang w:val="zh-CN"/>
        </w:rPr>
      </w:pPr>
    </w:p>
    <w:p w14:paraId="1F4A37F6">
      <w:pPr>
        <w:widowControl/>
        <w:adjustRightInd w:val="0"/>
        <w:snapToGrid w:val="0"/>
        <w:spacing w:line="360" w:lineRule="auto"/>
        <w:jc w:val="center"/>
        <w:outlineLvl w:val="1"/>
        <w:rPr>
          <w:rFonts w:hint="eastAsia" w:asciiTheme="minorEastAsia" w:hAnsiTheme="minorEastAsia" w:eastAsiaTheme="minorEastAsia" w:cstheme="minorEastAsia"/>
          <w:b/>
          <w:bCs/>
          <w:kern w:val="0"/>
          <w:sz w:val="21"/>
          <w:szCs w:val="16"/>
          <w:highlight w:val="none"/>
        </w:rPr>
      </w:pPr>
      <w:r>
        <w:rPr>
          <w:rFonts w:hint="eastAsia" w:asciiTheme="minorEastAsia" w:hAnsiTheme="minorEastAsia" w:eastAsiaTheme="minorEastAsia" w:cstheme="minorEastAsia"/>
          <w:b/>
          <w:bCs/>
          <w:kern w:val="0"/>
          <w:sz w:val="21"/>
          <w:szCs w:val="16"/>
          <w:highlight w:val="none"/>
        </w:rPr>
        <w:t>第三部分 专用条件</w:t>
      </w:r>
    </w:p>
    <w:p w14:paraId="3C4E36E1">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bCs/>
          <w:kern w:val="0"/>
          <w:sz w:val="21"/>
          <w:szCs w:val="16"/>
          <w:highlight w:val="none"/>
        </w:rPr>
        <w:t>第一条</w:t>
      </w:r>
      <w:r>
        <w:rPr>
          <w:rFonts w:hint="eastAsia" w:asciiTheme="minorEastAsia" w:hAnsiTheme="minorEastAsia" w:eastAsiaTheme="minorEastAsia" w:cstheme="minorEastAsia"/>
          <w:kern w:val="0"/>
          <w:sz w:val="21"/>
          <w:szCs w:val="16"/>
          <w:highlight w:val="none"/>
        </w:rPr>
        <w:t>　本合同适用的法律及监理依据：</w:t>
      </w:r>
    </w:p>
    <w:p w14:paraId="506C6B82">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1.1  《中华人民共和国建筑法》、《建设工程监理规范》</w:t>
      </w:r>
      <w:r>
        <w:rPr>
          <w:rFonts w:hint="eastAsia" w:asciiTheme="minorEastAsia" w:hAnsiTheme="minorEastAsia" w:eastAsiaTheme="minorEastAsia" w:cstheme="minorEastAsia"/>
          <w:strike w:val="0"/>
          <w:dstrike w:val="0"/>
          <w:color w:val="auto"/>
          <w:sz w:val="21"/>
          <w:szCs w:val="16"/>
          <w:highlight w:val="none"/>
          <w:u w:val="none"/>
          <w:shd w:val="clear" w:fill="auto"/>
        </w:rPr>
        <w:t>以及</w:t>
      </w:r>
      <w:r>
        <w:rPr>
          <w:rFonts w:hint="eastAsia" w:asciiTheme="minorEastAsia" w:hAnsiTheme="minorEastAsia" w:eastAsiaTheme="minorEastAsia" w:cstheme="minorEastAsia"/>
          <w:sz w:val="21"/>
          <w:szCs w:val="16"/>
          <w:highlight w:val="none"/>
        </w:rPr>
        <w:t>建设工程建设标准强制性条文，及</w:t>
      </w:r>
      <w:r>
        <w:rPr>
          <w:rFonts w:hint="eastAsia" w:asciiTheme="minorEastAsia" w:hAnsiTheme="minorEastAsia" w:eastAsiaTheme="minorEastAsia" w:cstheme="minorEastAsia"/>
          <w:strike w:val="0"/>
          <w:dstrike w:val="0"/>
          <w:color w:val="auto"/>
          <w:sz w:val="21"/>
          <w:szCs w:val="16"/>
          <w:highlight w:val="none"/>
          <w:u w:val="none"/>
          <w:shd w:val="clear" w:fill="auto"/>
        </w:rPr>
        <w:t>相关法规政策</w:t>
      </w:r>
      <w:r>
        <w:rPr>
          <w:rFonts w:hint="eastAsia" w:asciiTheme="minorEastAsia" w:hAnsiTheme="minorEastAsia" w:eastAsiaTheme="minorEastAsia" w:cstheme="minorEastAsia"/>
          <w:sz w:val="21"/>
          <w:szCs w:val="16"/>
          <w:highlight w:val="none"/>
        </w:rPr>
        <w:t>建设工程监理相关法规文件。主管部门批准的建设计划、规划、设计、招投标文件等。</w:t>
      </w:r>
    </w:p>
    <w:p w14:paraId="408D4BDC">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1.2采购人与有关承包人签订的合同或协议等合同文件。</w:t>
      </w:r>
    </w:p>
    <w:p w14:paraId="4A91DC30">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1.3采购人确认的工程设计图纸、工程变更、修改设计通知书及图纸会审纪要等设计文件。</w:t>
      </w:r>
    </w:p>
    <w:p w14:paraId="5887812D">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1.4国家和地方现行的建筑工程、机电安装工程质量验收规范及标准。</w:t>
      </w:r>
    </w:p>
    <w:p w14:paraId="4193A1F1">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1.5当地现行工程定额、收费标准和有关建设工程造价信息文件。</w:t>
      </w:r>
    </w:p>
    <w:p w14:paraId="11E6E0A7">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1.6当地建设行政主管部门的有关建设管理法规和通知等。</w:t>
      </w:r>
    </w:p>
    <w:p w14:paraId="16735519">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b/>
          <w:bCs/>
          <w:kern w:val="0"/>
          <w:sz w:val="21"/>
          <w:szCs w:val="16"/>
          <w:highlight w:val="none"/>
        </w:rPr>
        <w:t>第二条</w:t>
      </w:r>
      <w:r>
        <w:rPr>
          <w:rFonts w:hint="eastAsia" w:asciiTheme="minorEastAsia" w:hAnsiTheme="minorEastAsia" w:eastAsiaTheme="minorEastAsia" w:cstheme="minorEastAsia"/>
          <w:kern w:val="0"/>
          <w:sz w:val="21"/>
          <w:szCs w:val="16"/>
          <w:highlight w:val="none"/>
        </w:rPr>
        <w:t>　监理范围和监理工作内容：</w:t>
      </w:r>
    </w:p>
    <w:p w14:paraId="13BBD3A6">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 1 监理范围:本工程施工期、竣工结算期、质量保修期全过程监理服务和工程相关协调工作,具体详见施工图纸和工程量清单，并满足设计文件的要求。</w:t>
      </w:r>
    </w:p>
    <w:p w14:paraId="358D081F">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2.2 监理工作内容：</w:t>
      </w:r>
    </w:p>
    <w:p w14:paraId="7F2A104F">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2.2.1 施工阶段：施工过程中的质量、进度、费用控制，安全生产监督管理、合同、信息等方面的协调管理；</w:t>
      </w:r>
    </w:p>
    <w:p w14:paraId="24C40D56">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2.2.2结算阶段:工程竣工验收合格后查核施工单位提交的工程结算资料并审核工程量。</w:t>
      </w:r>
    </w:p>
    <w:p w14:paraId="5EAF077B">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2.2.3保修阶段：检查和</w:t>
      </w:r>
      <w:r>
        <w:rPr>
          <w:rFonts w:hint="eastAsia" w:asciiTheme="minorEastAsia" w:hAnsiTheme="minorEastAsia" w:eastAsiaTheme="minorEastAsia" w:cstheme="minorEastAsia"/>
          <w:strike w:val="0"/>
          <w:dstrike w:val="0"/>
          <w:color w:val="auto"/>
          <w:sz w:val="21"/>
          <w:szCs w:val="16"/>
          <w:highlight w:val="none"/>
          <w:u w:val="none"/>
          <w:shd w:val="clear" w:fill="auto"/>
        </w:rPr>
        <w:t>纪</w:t>
      </w:r>
      <w:r>
        <w:rPr>
          <w:rFonts w:hint="eastAsia" w:asciiTheme="minorEastAsia" w:hAnsiTheme="minorEastAsia" w:eastAsiaTheme="minorEastAsia" w:cstheme="minorEastAsia"/>
          <w:sz w:val="21"/>
          <w:szCs w:val="16"/>
          <w:highlight w:val="none"/>
        </w:rPr>
        <w:t>录工程质量缺陷，对缺陷原因进行调查分析并确定责任归属，审核修复方案，监督修复过程并验收、审核修复费用。</w:t>
      </w:r>
    </w:p>
    <w:p w14:paraId="3AED4D69">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2.2.4 其他内容：按照相关监理规范中规定的监理内容，并结合本工程具体情况对工程实施全过程监理，包括：</w:t>
      </w:r>
    </w:p>
    <w:p w14:paraId="4CE6ED91">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（1）编制监理规划或计划；</w:t>
      </w:r>
    </w:p>
    <w:p w14:paraId="19F0B825">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（2）熟悉合同文件，了解施工现场；</w:t>
      </w:r>
    </w:p>
    <w:p w14:paraId="5D0DAF0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（3）组织交桩和设计交底工作，审查承包人提交的复测成果和施工图设计；</w:t>
      </w:r>
    </w:p>
    <w:p w14:paraId="4329042D">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（4）督促和检查承包人建立质量保证体系和安全保障体系；</w:t>
      </w:r>
    </w:p>
    <w:p w14:paraId="3BD5F575">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（5）主持召开第一次工地会议和常规工地会议；</w:t>
      </w:r>
    </w:p>
    <w:p w14:paraId="7583C268">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（6）发布开(复)工令，批准单项工程开工报告；</w:t>
      </w:r>
    </w:p>
    <w:p w14:paraId="1E8FB0EF">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（7）审核承包人授权的常驻现场代表的资质，以及其它派驻现场的主要技术、管理人员的资质；</w:t>
      </w:r>
    </w:p>
    <w:p w14:paraId="021E72AC">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（8）验收承包人的工地</w:t>
      </w:r>
      <w:r>
        <w:rPr>
          <w:rFonts w:hint="eastAsia" w:asciiTheme="minorEastAsia" w:hAnsiTheme="minorEastAsia" w:eastAsiaTheme="minorEastAsia" w:cstheme="minorEastAsia"/>
          <w:strike w:val="0"/>
          <w:dstrike w:val="0"/>
          <w:color w:val="auto"/>
          <w:sz w:val="21"/>
          <w:szCs w:val="16"/>
          <w:highlight w:val="none"/>
          <w:u w:val="none"/>
          <w:shd w:val="clear" w:fill="auto"/>
        </w:rPr>
        <w:t>实</w:t>
      </w:r>
      <w:r>
        <w:rPr>
          <w:rFonts w:hint="eastAsia" w:asciiTheme="minorEastAsia" w:hAnsiTheme="minorEastAsia" w:eastAsiaTheme="minorEastAsia" w:cstheme="minorEastAsia"/>
          <w:sz w:val="21"/>
          <w:szCs w:val="16"/>
          <w:highlight w:val="none"/>
        </w:rPr>
        <w:t>验室，审核其人员资质；</w:t>
      </w:r>
    </w:p>
    <w:p w14:paraId="2869BF96">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（9）建立监理的试验、检测工作体系，按规定频率独立开展监理的试验、检测工作；</w:t>
      </w:r>
    </w:p>
    <w:p w14:paraId="21E9138C">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（10）审批承包人拟用于本工程的原始材料、成套设备的品质以及工艺试验，对标准试验必须进行复验和审定；</w:t>
      </w:r>
    </w:p>
    <w:p w14:paraId="5869EC86">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（11）审查承包人拟用于本工程的机械装备的性能与数量；</w:t>
      </w:r>
    </w:p>
    <w:p w14:paraId="3281075E">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（12）审批承包人实施本工程的施工方案及主要方法或工艺；</w:t>
      </w:r>
    </w:p>
    <w:p w14:paraId="7F667877">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（13）审查分包合同和分包人的资质，控制重要外购成品或半成品件的质量；</w:t>
      </w:r>
    </w:p>
    <w:p w14:paraId="08DBF05D">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（14）审批承包人提交的总体进度计划，检查和督促承包人实施进度计划，核批承包人的修正计划；</w:t>
      </w:r>
    </w:p>
    <w:p w14:paraId="07EF789E">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（15）要求承包人按照合同条件、技术规范和监理程序进行施工，通过旁站、巡视、检测、试验和整体验收等手段全面监理、检查和控制工程质量；</w:t>
      </w:r>
    </w:p>
    <w:p w14:paraId="60FF6443">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（16）签发中间交工证书；</w:t>
      </w:r>
    </w:p>
    <w:p w14:paraId="7A0BDCEC">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（17）对设计变更工程费用调整、工期</w:t>
      </w:r>
      <w:r>
        <w:rPr>
          <w:rFonts w:hint="eastAsia" w:asciiTheme="minorEastAsia" w:hAnsiTheme="minorEastAsia" w:eastAsiaTheme="minorEastAsia" w:cstheme="minorEastAsia"/>
          <w:strike w:val="0"/>
          <w:dstrike w:val="0"/>
          <w:color w:val="auto"/>
          <w:sz w:val="21"/>
          <w:szCs w:val="16"/>
          <w:highlight w:val="none"/>
          <w:u w:val="none"/>
          <w:shd w:val="clear" w:fill="auto"/>
        </w:rPr>
        <w:t>减</w:t>
      </w:r>
      <w:r>
        <w:rPr>
          <w:rFonts w:hint="eastAsia" w:asciiTheme="minorEastAsia" w:hAnsiTheme="minorEastAsia" w:eastAsiaTheme="minorEastAsia" w:cstheme="minorEastAsia"/>
          <w:sz w:val="21"/>
          <w:szCs w:val="16"/>
          <w:highlight w:val="none"/>
        </w:rPr>
        <w:t>短或顺延，工程量的签证等事项必须与委托人共同签署相关书面文件；</w:t>
      </w:r>
    </w:p>
    <w:p w14:paraId="7389E7A9">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（18）调查、处理工程质量缺陷和事故，出现重大质量事故时，督促承包人按规定上报有关部门；</w:t>
      </w:r>
    </w:p>
    <w:p w14:paraId="6526D4CD">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（19）发布停工令，并如实书面报告委托人；</w:t>
      </w:r>
    </w:p>
    <w:p w14:paraId="7FC68F4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（20）对已完工并经检验合格的工程进行准确的计量；</w:t>
      </w:r>
    </w:p>
    <w:p w14:paraId="1ACC87D1">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（21）签认中期支付凭证；</w:t>
      </w:r>
    </w:p>
    <w:p w14:paraId="3B87A02E">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（22）评估变更令；对工程变更的必要性和可行性进行评估；</w:t>
      </w:r>
    </w:p>
    <w:p w14:paraId="56FF247E">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（23）受理合同事宜，根据合同规定进行评估和处理；</w:t>
      </w:r>
    </w:p>
    <w:p w14:paraId="4983D75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（24）根据合同规定处理违约事件，协调争端，在仲裁过程中作证；</w:t>
      </w:r>
    </w:p>
    <w:p w14:paraId="3110DF60">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（25）编制监理工作月报、季报和年报；</w:t>
      </w:r>
    </w:p>
    <w:p w14:paraId="2DBC3EC1">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（26）对承包人的交工申请进行评估，组织对拟交工工程的检查和验收；</w:t>
      </w:r>
    </w:p>
    <w:p w14:paraId="792BBBEC">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（27）签发交工证书；</w:t>
      </w:r>
    </w:p>
    <w:p w14:paraId="34F0F90C">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（28）督促、检查承包人按工程管理部门和委托人的要求编制竣工文件；</w:t>
      </w:r>
    </w:p>
    <w:p w14:paraId="6512F4E2">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（29）编制监理方面的竣工文件；</w:t>
      </w:r>
    </w:p>
    <w:p w14:paraId="5C93C553">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（30）监督承包人认真执行保修期的工作计划，检查和验收剩余工程，调查已交工工程中出现缺陷、病害的原因并确定相应责任；</w:t>
      </w:r>
    </w:p>
    <w:p w14:paraId="25CA74E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（31）签发工程缺陷责任终止证书；</w:t>
      </w:r>
    </w:p>
    <w:p w14:paraId="5BF0064E">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（32）签发最终支付证书；</w:t>
      </w:r>
    </w:p>
    <w:p w14:paraId="78CB61FF">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（33）配合委托人的竣工验收和工程移交工作；</w:t>
      </w:r>
    </w:p>
    <w:p w14:paraId="392E9DC0">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（34）按委托人要求完成与本项目工程有关的各项测量工作；</w:t>
      </w:r>
    </w:p>
    <w:p w14:paraId="248869D1">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（35）监理人需会同发包人代表共同签署才有效的文件：①设计变更;②费用调整;③工程量签证;④工期</w:t>
      </w:r>
      <w:r>
        <w:rPr>
          <w:rFonts w:hint="eastAsia" w:asciiTheme="minorEastAsia" w:hAnsiTheme="minorEastAsia" w:eastAsiaTheme="minorEastAsia" w:cstheme="minorEastAsia"/>
          <w:strike w:val="0"/>
          <w:dstrike w:val="0"/>
          <w:color w:val="auto"/>
          <w:sz w:val="21"/>
          <w:szCs w:val="16"/>
          <w:highlight w:val="none"/>
          <w:u w:val="none"/>
          <w:shd w:val="clear" w:fill="auto"/>
        </w:rPr>
        <w:t>减</w:t>
      </w:r>
      <w:r>
        <w:rPr>
          <w:rFonts w:hint="eastAsia" w:asciiTheme="minorEastAsia" w:hAnsiTheme="minorEastAsia" w:eastAsiaTheme="minorEastAsia" w:cstheme="minorEastAsia"/>
          <w:sz w:val="21"/>
          <w:szCs w:val="16"/>
          <w:highlight w:val="none"/>
        </w:rPr>
        <w:t>短或顺延;⑤其他：按发包人与监理单位所签署监理合同，非发包人明确授权的事项，须监理人、发包人代表共同签认方为有效。</w:t>
      </w:r>
    </w:p>
    <w:p w14:paraId="2C9640F1">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（36）监理人需做好每天考勤打卡制度，不迟到、不早退，确保施工过程顺利进行。</w:t>
      </w:r>
    </w:p>
    <w:p w14:paraId="561A18D1">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（37）本监理项目施工（或设备采购）合同或其他法律法规及地方行政主管部门规定由监理人负责履行的相关责任。</w:t>
      </w:r>
    </w:p>
    <w:p w14:paraId="6AF198A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（38）按相关法律、法规、规范、标准规定需由监理人负责的相关工作；</w:t>
      </w:r>
    </w:p>
    <w:p w14:paraId="6E7319DB">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（39）对有电梯安装的施工现场安全生产负监理责任，督促施工总承包企业与电梯安装单位签订安全管理合同，明确各自安全责任。</w:t>
      </w:r>
    </w:p>
    <w:p w14:paraId="5AAC7F75">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（40）各类工艺设备监造及安装阶段的监理工作内容还包括:</w:t>
      </w:r>
    </w:p>
    <w:p w14:paraId="482EEDD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A.根据认可的设计施工图纸和有关标准、规范，对制造过程中的各个环节进行监理，及时指出各种缺陷、并要求制造厂改进；</w:t>
      </w:r>
    </w:p>
    <w:p w14:paraId="29B9643C">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B.监理人必须保证有足够数量的</w:t>
      </w:r>
      <w:r>
        <w:rPr>
          <w:rFonts w:hint="eastAsia" w:asciiTheme="minorEastAsia" w:hAnsiTheme="minorEastAsia" w:eastAsiaTheme="minorEastAsia" w:cstheme="minorEastAsia"/>
          <w:strike w:val="0"/>
          <w:dstrike w:val="0"/>
          <w:color w:val="auto"/>
          <w:sz w:val="21"/>
          <w:szCs w:val="16"/>
          <w:highlight w:val="none"/>
          <w:u w:val="none"/>
          <w:shd w:val="clear" w:fill="auto"/>
        </w:rPr>
        <w:t>有资</w:t>
      </w:r>
      <w:r>
        <w:rPr>
          <w:rFonts w:hint="eastAsia" w:asciiTheme="minorEastAsia" w:hAnsiTheme="minorEastAsia" w:eastAsiaTheme="minorEastAsia" w:cstheme="minorEastAsia"/>
          <w:sz w:val="21"/>
          <w:szCs w:val="16"/>
          <w:highlight w:val="none"/>
        </w:rPr>
        <w:t xml:space="preserve">格监理人员在制造现场； </w:t>
      </w:r>
    </w:p>
    <w:p w14:paraId="2F935127">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C.监理人不直接进行检测，但对需进行检测校验的设备、仪器、仪表等的监测手段及检验结果的准确性负责；</w:t>
      </w:r>
    </w:p>
    <w:p w14:paraId="3CF23EF6">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D.监理人对施工程序进行检查并予以确认，上道工序不合格不允许进入下道工序施工；</w:t>
      </w:r>
    </w:p>
    <w:p w14:paraId="0F1ED29B">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E.审查试车大纲；</w:t>
      </w:r>
    </w:p>
    <w:p w14:paraId="123CA259">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F.调试及试车检验，检查所有电器控制系统的接线、绝缘、接地、限位及安全保护装置，检查所有的机械运动部件的运行情况及调试过程。</w:t>
      </w:r>
    </w:p>
    <w:p w14:paraId="145C09D2">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G.设备发运前的检查，审核设备运输方案、检查加固质量及运输前的保护情况，核对现场整改落实情况，检查随机备件及附属件。</w:t>
      </w:r>
    </w:p>
    <w:p w14:paraId="7EE1291E">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H.督促工艺设备供应商完成设备的证照办理；</w:t>
      </w:r>
    </w:p>
    <w:p w14:paraId="4F00BA3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I.在设备的质保期内，参与重大故障和索赔等事项的分析、谈判，为发包人提供相应的依据。</w:t>
      </w:r>
    </w:p>
    <w:p w14:paraId="0BF6B5D7">
      <w:pPr>
        <w:widowControl/>
        <w:adjustRightInd w:val="0"/>
        <w:snapToGrid w:val="0"/>
        <w:spacing w:line="360" w:lineRule="auto"/>
        <w:ind w:left="840" w:hanging="840"/>
        <w:jc w:val="left"/>
        <w:rPr>
          <w:rFonts w:hint="eastAsia" w:asciiTheme="minorEastAsia" w:hAnsiTheme="minorEastAsia" w:eastAsiaTheme="minorEastAsia" w:cstheme="minorEastAsia"/>
          <w:kern w:val="0"/>
          <w:sz w:val="21"/>
          <w:szCs w:val="16"/>
          <w:highlight w:val="none"/>
        </w:rPr>
      </w:pPr>
    </w:p>
    <w:p w14:paraId="6D170DDB">
      <w:pPr>
        <w:widowControl/>
        <w:adjustRightInd w:val="0"/>
        <w:snapToGrid w:val="0"/>
        <w:spacing w:line="360" w:lineRule="auto"/>
        <w:ind w:left="840" w:hanging="840"/>
        <w:jc w:val="left"/>
        <w:rPr>
          <w:rFonts w:hint="eastAsia" w:asciiTheme="minorEastAsia" w:hAnsiTheme="minorEastAsia" w:eastAsiaTheme="minorEastAsia" w:cstheme="minorEastAsia"/>
          <w:b/>
          <w:kern w:val="0"/>
          <w:sz w:val="21"/>
          <w:szCs w:val="16"/>
          <w:highlight w:val="none"/>
          <w:u w:val="single"/>
        </w:rPr>
      </w:pPr>
      <w:r>
        <w:rPr>
          <w:rFonts w:hint="eastAsia" w:asciiTheme="minorEastAsia" w:hAnsiTheme="minorEastAsia" w:eastAsiaTheme="minorEastAsia" w:cstheme="minorEastAsia"/>
          <w:b/>
          <w:bCs/>
          <w:kern w:val="0"/>
          <w:sz w:val="21"/>
          <w:szCs w:val="16"/>
          <w:highlight w:val="none"/>
          <w:u w:val="single"/>
        </w:rPr>
        <w:t>第三条</w:t>
      </w:r>
      <w:r>
        <w:rPr>
          <w:rFonts w:hint="eastAsia" w:asciiTheme="minorEastAsia" w:hAnsiTheme="minorEastAsia" w:eastAsiaTheme="minorEastAsia" w:cstheme="minorEastAsia"/>
          <w:b/>
          <w:bCs/>
          <w:kern w:val="0"/>
          <w:sz w:val="21"/>
          <w:szCs w:val="16"/>
          <w:highlight w:val="none"/>
          <w:u w:val="single"/>
          <w:lang w:val="en-US" w:eastAsia="zh-CN"/>
        </w:rPr>
        <w:t xml:space="preserve">  </w:t>
      </w:r>
      <w:r>
        <w:rPr>
          <w:rFonts w:hint="eastAsia" w:asciiTheme="minorEastAsia" w:hAnsiTheme="minorEastAsia" w:eastAsiaTheme="minorEastAsia" w:cstheme="minorEastAsia"/>
          <w:kern w:val="0"/>
          <w:sz w:val="21"/>
          <w:szCs w:val="16"/>
          <w:highlight w:val="none"/>
        </w:rPr>
        <w:t>采购人应提供的工程资料及提供时间：</w:t>
      </w:r>
      <w:r>
        <w:rPr>
          <w:rFonts w:hint="eastAsia" w:asciiTheme="minorEastAsia" w:hAnsiTheme="minorEastAsia" w:eastAsiaTheme="minorEastAsia" w:cstheme="minorEastAsia"/>
          <w:kern w:val="0"/>
          <w:sz w:val="21"/>
          <w:szCs w:val="16"/>
          <w:highlight w:val="none"/>
          <w:u w:val="single"/>
        </w:rPr>
        <w:t>与工程有关的施工图纸、招标文件、委托监理的工程范围内全部承包人的工程承包合同、中标的投标书、工程（概）预算等资料各一份。</w:t>
      </w:r>
    </w:p>
    <w:p w14:paraId="43AFF616">
      <w:pPr>
        <w:widowControl/>
        <w:adjustRightInd w:val="0"/>
        <w:snapToGrid w:val="0"/>
        <w:spacing w:line="360" w:lineRule="auto"/>
        <w:ind w:left="827" w:leftChars="294" w:hanging="210" w:hangingChars="100"/>
        <w:jc w:val="left"/>
        <w:rPr>
          <w:rFonts w:hint="eastAsia" w:asciiTheme="minorEastAsia" w:hAnsiTheme="minorEastAsia" w:eastAsiaTheme="minorEastAsia" w:cstheme="minorEastAsia"/>
          <w:kern w:val="0"/>
          <w:sz w:val="21"/>
          <w:szCs w:val="16"/>
          <w:highlight w:val="none"/>
        </w:rPr>
      </w:pPr>
      <w:r>
        <w:rPr>
          <w:rFonts w:hint="eastAsia" w:asciiTheme="minorEastAsia" w:hAnsiTheme="minorEastAsia" w:eastAsiaTheme="minorEastAsia" w:cstheme="minorEastAsia"/>
          <w:kern w:val="0"/>
          <w:sz w:val="21"/>
          <w:szCs w:val="16"/>
          <w:highlight w:val="none"/>
        </w:rPr>
        <w:t>　采购人应在</w:t>
      </w:r>
      <w:r>
        <w:rPr>
          <w:rFonts w:hint="eastAsia" w:asciiTheme="minorEastAsia" w:hAnsiTheme="minorEastAsia" w:eastAsiaTheme="minorEastAsia" w:cstheme="minorEastAsia"/>
          <w:kern w:val="0"/>
          <w:sz w:val="21"/>
          <w:szCs w:val="16"/>
          <w:highlight w:val="none"/>
          <w:u w:val="single"/>
        </w:rPr>
        <w:t xml:space="preserve"> 7 </w:t>
      </w:r>
      <w:r>
        <w:rPr>
          <w:rFonts w:hint="eastAsia" w:asciiTheme="minorEastAsia" w:hAnsiTheme="minorEastAsia" w:eastAsiaTheme="minorEastAsia" w:cstheme="minorEastAsia"/>
          <w:kern w:val="0"/>
          <w:sz w:val="21"/>
          <w:szCs w:val="16"/>
          <w:highlight w:val="none"/>
        </w:rPr>
        <w:t>天内对监理人书面提交并要求作出决定的事宜作出书面答复。</w:t>
      </w:r>
    </w:p>
    <w:p w14:paraId="664BB12A">
      <w:pPr>
        <w:widowControl/>
        <w:adjustRightInd w:val="0"/>
        <w:snapToGrid w:val="0"/>
        <w:spacing w:line="360" w:lineRule="auto"/>
        <w:jc w:val="left"/>
        <w:rPr>
          <w:rFonts w:hint="eastAsia" w:asciiTheme="minorEastAsia" w:hAnsiTheme="minorEastAsia" w:eastAsiaTheme="minorEastAsia" w:cstheme="minorEastAsia"/>
          <w:kern w:val="0"/>
          <w:sz w:val="21"/>
          <w:szCs w:val="16"/>
          <w:highlight w:val="none"/>
          <w:u w:val="single"/>
        </w:rPr>
      </w:pPr>
      <w:r>
        <w:rPr>
          <w:rFonts w:hint="eastAsia" w:asciiTheme="minorEastAsia" w:hAnsiTheme="minorEastAsia" w:eastAsiaTheme="minorEastAsia" w:cstheme="minorEastAsia"/>
          <w:b/>
          <w:bCs/>
          <w:kern w:val="0"/>
          <w:sz w:val="21"/>
          <w:szCs w:val="16"/>
          <w:highlight w:val="none"/>
        </w:rPr>
        <w:t>第</w:t>
      </w:r>
      <w:r>
        <w:rPr>
          <w:rFonts w:hint="eastAsia" w:asciiTheme="minorEastAsia" w:hAnsiTheme="minorEastAsia" w:eastAsiaTheme="minorEastAsia" w:cstheme="minorEastAsia"/>
          <w:b/>
          <w:bCs/>
          <w:kern w:val="0"/>
          <w:sz w:val="21"/>
          <w:szCs w:val="16"/>
          <w:highlight w:val="none"/>
          <w:lang w:val="en-US" w:eastAsia="zh-CN"/>
        </w:rPr>
        <w:t>四</w:t>
      </w:r>
      <w:r>
        <w:rPr>
          <w:rFonts w:hint="eastAsia" w:asciiTheme="minorEastAsia" w:hAnsiTheme="minorEastAsia" w:eastAsiaTheme="minorEastAsia" w:cstheme="minorEastAsia"/>
          <w:b/>
          <w:bCs/>
          <w:kern w:val="0"/>
          <w:sz w:val="21"/>
          <w:szCs w:val="16"/>
          <w:highlight w:val="none"/>
        </w:rPr>
        <w:t xml:space="preserve">条 </w:t>
      </w:r>
      <w:r>
        <w:rPr>
          <w:rFonts w:hint="eastAsia" w:asciiTheme="minorEastAsia" w:hAnsiTheme="minorEastAsia" w:eastAsiaTheme="minorEastAsia" w:cstheme="minorEastAsia"/>
          <w:kern w:val="0"/>
          <w:sz w:val="21"/>
          <w:szCs w:val="16"/>
          <w:highlight w:val="none"/>
        </w:rPr>
        <w:t>采购人免费向监理机构提供如下设施：</w:t>
      </w:r>
      <w:r>
        <w:rPr>
          <w:rFonts w:hint="eastAsia" w:asciiTheme="minorEastAsia" w:hAnsiTheme="minorEastAsia" w:eastAsiaTheme="minorEastAsia" w:cstheme="minorEastAsia"/>
          <w:kern w:val="0"/>
          <w:sz w:val="21"/>
          <w:szCs w:val="16"/>
          <w:highlight w:val="none"/>
          <w:u w:val="single"/>
        </w:rPr>
        <w:t xml:space="preserve">  /          。</w:t>
      </w:r>
    </w:p>
    <w:p w14:paraId="7B712D49">
      <w:pPr>
        <w:adjustRightInd w:val="0"/>
        <w:snapToGrid w:val="0"/>
        <w:spacing w:line="360" w:lineRule="auto"/>
        <w:ind w:firstLine="415" w:firstLineChars="198"/>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kern w:val="0"/>
          <w:sz w:val="21"/>
          <w:szCs w:val="16"/>
          <w:highlight w:val="none"/>
        </w:rPr>
        <w:t xml:space="preserve"> 监理人在施工期间派驻现场工程师不得少</w:t>
      </w:r>
      <w:r>
        <w:rPr>
          <w:rFonts w:hint="eastAsia" w:asciiTheme="minorEastAsia" w:hAnsiTheme="minorEastAsia" w:eastAsiaTheme="minorEastAsia" w:cstheme="minorEastAsia"/>
          <w:kern w:val="0"/>
          <w:sz w:val="21"/>
          <w:szCs w:val="16"/>
          <w:highlight w:val="none"/>
        </w:rPr>
        <w:t>于</w:t>
      </w:r>
      <w:r>
        <w:rPr>
          <w:rFonts w:hint="eastAsia" w:asciiTheme="minorEastAsia" w:hAnsiTheme="minorEastAsia" w:eastAsiaTheme="minorEastAsia" w:cstheme="minorEastAsia"/>
          <w:b/>
          <w:kern w:val="0"/>
          <w:sz w:val="21"/>
          <w:szCs w:val="16"/>
          <w:highlight w:val="none"/>
          <w:u w:val="single"/>
        </w:rPr>
        <w:t xml:space="preserve"> </w:t>
      </w:r>
      <w:r>
        <w:rPr>
          <w:rFonts w:hint="eastAsia" w:asciiTheme="minorEastAsia" w:hAnsiTheme="minorEastAsia" w:eastAsiaTheme="minorEastAsia" w:cstheme="minorEastAsia"/>
          <w:b/>
          <w:kern w:val="0"/>
          <w:sz w:val="21"/>
          <w:szCs w:val="16"/>
          <w:highlight w:val="none"/>
          <w:u w:val="single"/>
          <w:lang w:val="en-US" w:eastAsia="zh-CN"/>
        </w:rPr>
        <w:t xml:space="preserve">  </w:t>
      </w:r>
      <w:r>
        <w:rPr>
          <w:rFonts w:hint="eastAsia" w:asciiTheme="minorEastAsia" w:hAnsiTheme="minorEastAsia" w:eastAsiaTheme="minorEastAsia" w:cstheme="minorEastAsia"/>
          <w:b/>
          <w:kern w:val="0"/>
          <w:sz w:val="21"/>
          <w:szCs w:val="16"/>
          <w:highlight w:val="none"/>
          <w:u w:val="single"/>
        </w:rPr>
        <w:t xml:space="preserve"> </w:t>
      </w:r>
      <w:r>
        <w:rPr>
          <w:rFonts w:hint="eastAsia" w:asciiTheme="minorEastAsia" w:hAnsiTheme="minorEastAsia" w:eastAsiaTheme="minorEastAsia" w:cstheme="minorEastAsia"/>
          <w:kern w:val="0"/>
          <w:sz w:val="21"/>
          <w:szCs w:val="16"/>
          <w:highlight w:val="none"/>
        </w:rPr>
        <w:t>名</w:t>
      </w:r>
      <w:r>
        <w:rPr>
          <w:rFonts w:hint="eastAsia" w:asciiTheme="minorEastAsia" w:hAnsiTheme="minorEastAsia" w:eastAsiaTheme="minorEastAsia" w:cstheme="minorEastAsia"/>
          <w:kern w:val="0"/>
          <w:sz w:val="21"/>
          <w:szCs w:val="16"/>
          <w:highlight w:val="none"/>
        </w:rPr>
        <w:t>。</w:t>
      </w:r>
      <w:r>
        <w:rPr>
          <w:rFonts w:hint="eastAsia" w:ascii="宋体" w:hAnsi="宋体"/>
          <w:kern w:val="0"/>
          <w:sz w:val="21"/>
          <w:szCs w:val="16"/>
          <w:highlight w:val="none"/>
        </w:rPr>
        <w:t>总监理工程师姓名：</w:t>
      </w:r>
      <w:r>
        <w:rPr>
          <w:rFonts w:hint="eastAsia" w:ascii="宋体" w:hAnsi="宋体"/>
          <w:kern w:val="0"/>
          <w:sz w:val="21"/>
          <w:szCs w:val="16"/>
          <w:highlight w:val="none"/>
          <w:u w:val="single"/>
          <w:lang w:val="en-US" w:eastAsia="zh-CN"/>
        </w:rPr>
        <w:t xml:space="preserve">    </w:t>
      </w:r>
      <w:r>
        <w:rPr>
          <w:rFonts w:hint="eastAsia" w:ascii="宋体" w:hAnsi="宋体"/>
          <w:kern w:val="0"/>
          <w:sz w:val="21"/>
          <w:szCs w:val="16"/>
          <w:highlight w:val="none"/>
        </w:rPr>
        <w:t>，身份证号码：</w:t>
      </w:r>
      <w:r>
        <w:rPr>
          <w:rFonts w:hint="eastAsia" w:ascii="宋体" w:hAnsi="宋体"/>
          <w:kern w:val="0"/>
          <w:sz w:val="21"/>
          <w:szCs w:val="16"/>
          <w:highlight w:val="none"/>
          <w:u w:val="single"/>
          <w:lang w:val="en-US" w:eastAsia="zh-CN"/>
        </w:rPr>
        <w:t xml:space="preserve">          </w:t>
      </w:r>
      <w:r>
        <w:rPr>
          <w:rFonts w:hint="eastAsia" w:ascii="宋体" w:hAnsi="宋体"/>
          <w:kern w:val="0"/>
          <w:sz w:val="21"/>
          <w:szCs w:val="16"/>
          <w:highlight w:val="none"/>
        </w:rPr>
        <w:t>，注册号：</w:t>
      </w:r>
      <w:r>
        <w:rPr>
          <w:rFonts w:hint="eastAsia" w:ascii="宋体" w:hAnsi="宋体"/>
          <w:kern w:val="0"/>
          <w:sz w:val="21"/>
          <w:szCs w:val="16"/>
          <w:highlight w:val="none"/>
          <w:u w:val="single"/>
          <w:lang w:val="en-US" w:eastAsia="zh-CN"/>
        </w:rPr>
        <w:t xml:space="preserve">        </w:t>
      </w:r>
      <w:r>
        <w:rPr>
          <w:rFonts w:hint="eastAsia" w:ascii="宋体" w:hAnsi="宋体"/>
          <w:kern w:val="0"/>
          <w:sz w:val="21"/>
          <w:szCs w:val="16"/>
          <w:highlight w:val="none"/>
        </w:rPr>
        <w:t>。</w:t>
      </w:r>
    </w:p>
    <w:p w14:paraId="785ADA4D">
      <w:pPr>
        <w:pStyle w:val="16"/>
        <w:spacing w:line="360" w:lineRule="auto"/>
        <w:ind w:left="-176" w:leftChars="-84" w:firstLine="210" w:firstLineChars="100"/>
        <w:jc w:val="center"/>
        <w:rPr>
          <w:rFonts w:hint="eastAsia" w:asciiTheme="minorEastAsia" w:hAnsiTheme="minorEastAsia" w:eastAsiaTheme="minorEastAsia" w:cstheme="minorEastAsia"/>
          <w:b/>
          <w:sz w:val="21"/>
          <w:szCs w:val="18"/>
          <w:highlight w:val="none"/>
          <w:u w:val="single"/>
        </w:rPr>
      </w:pPr>
      <w:r>
        <w:rPr>
          <w:rFonts w:hint="eastAsia" w:asciiTheme="minorEastAsia" w:hAnsiTheme="minorEastAsia" w:eastAsiaTheme="minorEastAsia" w:cstheme="minorEastAsia"/>
          <w:sz w:val="21"/>
          <w:szCs w:val="18"/>
          <w:highlight w:val="none"/>
        </w:rPr>
        <w:t>本项目拟派人员及其技术资格一览表</w:t>
      </w:r>
    </w:p>
    <w:tbl>
      <w:tblPr>
        <w:tblStyle w:val="25"/>
        <w:tblW w:w="7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200"/>
        <w:gridCol w:w="1943"/>
        <w:gridCol w:w="2370"/>
        <w:gridCol w:w="1357"/>
      </w:tblGrid>
      <w:tr w14:paraId="07C2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5" w:type="dxa"/>
            <w:vAlign w:val="center"/>
          </w:tcPr>
          <w:p w14:paraId="0D6FA868">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序号</w:t>
            </w:r>
          </w:p>
        </w:tc>
        <w:tc>
          <w:tcPr>
            <w:tcW w:w="1200" w:type="dxa"/>
            <w:vAlign w:val="center"/>
          </w:tcPr>
          <w:p w14:paraId="38F40F67">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姓名</w:t>
            </w:r>
          </w:p>
        </w:tc>
        <w:tc>
          <w:tcPr>
            <w:tcW w:w="1943" w:type="dxa"/>
          </w:tcPr>
          <w:p w14:paraId="0C0C293B">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拟在本项目担任职务</w:t>
            </w:r>
          </w:p>
        </w:tc>
        <w:tc>
          <w:tcPr>
            <w:tcW w:w="2370" w:type="dxa"/>
            <w:vAlign w:val="center"/>
          </w:tcPr>
          <w:p w14:paraId="1505740E">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专业、资格证件</w:t>
            </w:r>
          </w:p>
        </w:tc>
        <w:tc>
          <w:tcPr>
            <w:tcW w:w="1357" w:type="dxa"/>
            <w:vAlign w:val="center"/>
          </w:tcPr>
          <w:p w14:paraId="08EEE7E3">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发证时间</w:t>
            </w:r>
          </w:p>
        </w:tc>
      </w:tr>
      <w:tr w14:paraId="1674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5" w:type="dxa"/>
            <w:vAlign w:val="center"/>
          </w:tcPr>
          <w:p w14:paraId="6442C80F">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w:t>
            </w:r>
          </w:p>
        </w:tc>
        <w:tc>
          <w:tcPr>
            <w:tcW w:w="1200" w:type="dxa"/>
            <w:vAlign w:val="center"/>
          </w:tcPr>
          <w:p w14:paraId="38FE8251">
            <w:pPr>
              <w:spacing w:line="360" w:lineRule="auto"/>
              <w:rPr>
                <w:rFonts w:hint="default" w:asciiTheme="minorEastAsia" w:hAnsiTheme="minorEastAsia" w:eastAsiaTheme="minorEastAsia" w:cstheme="minorEastAsia"/>
                <w:sz w:val="21"/>
                <w:szCs w:val="16"/>
                <w:highlight w:val="none"/>
                <w:lang w:val="en-US" w:eastAsia="zh-CN"/>
              </w:rPr>
            </w:pPr>
            <w:r>
              <w:rPr>
                <w:rFonts w:hint="eastAsia" w:asciiTheme="minorEastAsia" w:hAnsiTheme="minorEastAsia" w:eastAsiaTheme="minorEastAsia" w:cstheme="minorEastAsia"/>
                <w:sz w:val="21"/>
                <w:szCs w:val="16"/>
                <w:highlight w:val="none"/>
                <w:lang w:val="en-US" w:eastAsia="zh-CN"/>
              </w:rPr>
              <w:t xml:space="preserve">   </w:t>
            </w:r>
          </w:p>
        </w:tc>
        <w:tc>
          <w:tcPr>
            <w:tcW w:w="1943" w:type="dxa"/>
            <w:vAlign w:val="center"/>
          </w:tcPr>
          <w:p w14:paraId="41976347">
            <w:pPr>
              <w:spacing w:line="360" w:lineRule="auto"/>
              <w:rPr>
                <w:rFonts w:hint="eastAsia" w:asciiTheme="minorEastAsia" w:hAnsiTheme="minorEastAsia" w:eastAsiaTheme="minorEastAsia" w:cstheme="minorEastAsia"/>
                <w:sz w:val="21"/>
                <w:szCs w:val="16"/>
                <w:highlight w:val="none"/>
              </w:rPr>
            </w:pPr>
          </w:p>
        </w:tc>
        <w:tc>
          <w:tcPr>
            <w:tcW w:w="2370" w:type="dxa"/>
            <w:vAlign w:val="center"/>
          </w:tcPr>
          <w:p w14:paraId="0A8960B2">
            <w:pPr>
              <w:spacing w:line="360" w:lineRule="auto"/>
              <w:rPr>
                <w:rFonts w:hint="eastAsia" w:asciiTheme="minorEastAsia" w:hAnsiTheme="minorEastAsia" w:eastAsiaTheme="minorEastAsia" w:cstheme="minorEastAsia"/>
                <w:sz w:val="21"/>
                <w:szCs w:val="16"/>
                <w:highlight w:val="none"/>
              </w:rPr>
            </w:pPr>
          </w:p>
        </w:tc>
        <w:tc>
          <w:tcPr>
            <w:tcW w:w="1357" w:type="dxa"/>
            <w:vAlign w:val="center"/>
          </w:tcPr>
          <w:p w14:paraId="3FDA01E7">
            <w:pPr>
              <w:spacing w:line="360" w:lineRule="auto"/>
              <w:rPr>
                <w:rFonts w:hint="eastAsia" w:asciiTheme="minorEastAsia" w:hAnsiTheme="minorEastAsia" w:eastAsiaTheme="minorEastAsia" w:cstheme="minorEastAsia"/>
                <w:sz w:val="21"/>
                <w:szCs w:val="16"/>
                <w:highlight w:val="none"/>
              </w:rPr>
            </w:pPr>
          </w:p>
        </w:tc>
      </w:tr>
      <w:tr w14:paraId="421D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5" w:type="dxa"/>
            <w:vAlign w:val="center"/>
          </w:tcPr>
          <w:p w14:paraId="6368C836">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w:t>
            </w:r>
          </w:p>
        </w:tc>
        <w:tc>
          <w:tcPr>
            <w:tcW w:w="1200" w:type="dxa"/>
            <w:vAlign w:val="center"/>
          </w:tcPr>
          <w:p w14:paraId="0847209C">
            <w:pPr>
              <w:spacing w:line="360" w:lineRule="auto"/>
              <w:rPr>
                <w:rFonts w:hint="eastAsia" w:asciiTheme="minorEastAsia" w:hAnsiTheme="minorEastAsia" w:eastAsiaTheme="minorEastAsia" w:cstheme="minorEastAsia"/>
                <w:sz w:val="21"/>
                <w:szCs w:val="16"/>
                <w:highlight w:val="none"/>
              </w:rPr>
            </w:pPr>
          </w:p>
        </w:tc>
        <w:tc>
          <w:tcPr>
            <w:tcW w:w="1943" w:type="dxa"/>
            <w:vAlign w:val="center"/>
          </w:tcPr>
          <w:p w14:paraId="07105889">
            <w:pPr>
              <w:spacing w:line="360" w:lineRule="auto"/>
              <w:rPr>
                <w:rFonts w:hint="eastAsia" w:asciiTheme="minorEastAsia" w:hAnsiTheme="minorEastAsia" w:eastAsiaTheme="minorEastAsia" w:cstheme="minorEastAsia"/>
                <w:sz w:val="21"/>
                <w:szCs w:val="16"/>
                <w:highlight w:val="none"/>
              </w:rPr>
            </w:pPr>
          </w:p>
        </w:tc>
        <w:tc>
          <w:tcPr>
            <w:tcW w:w="2370" w:type="dxa"/>
            <w:vAlign w:val="center"/>
          </w:tcPr>
          <w:p w14:paraId="1A981BF1">
            <w:pPr>
              <w:spacing w:line="360" w:lineRule="auto"/>
              <w:rPr>
                <w:rFonts w:hint="eastAsia" w:asciiTheme="minorEastAsia" w:hAnsiTheme="minorEastAsia" w:eastAsiaTheme="minorEastAsia" w:cstheme="minorEastAsia"/>
                <w:sz w:val="21"/>
                <w:szCs w:val="16"/>
                <w:highlight w:val="none"/>
              </w:rPr>
            </w:pPr>
          </w:p>
        </w:tc>
        <w:tc>
          <w:tcPr>
            <w:tcW w:w="1357" w:type="dxa"/>
            <w:vAlign w:val="center"/>
          </w:tcPr>
          <w:p w14:paraId="52D2C408">
            <w:pPr>
              <w:spacing w:line="360" w:lineRule="auto"/>
              <w:rPr>
                <w:rFonts w:hint="eastAsia" w:asciiTheme="minorEastAsia" w:hAnsiTheme="minorEastAsia" w:eastAsiaTheme="minorEastAsia" w:cstheme="minorEastAsia"/>
                <w:sz w:val="21"/>
                <w:szCs w:val="16"/>
                <w:highlight w:val="none"/>
              </w:rPr>
            </w:pPr>
          </w:p>
        </w:tc>
      </w:tr>
      <w:tr w14:paraId="2912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5" w:type="dxa"/>
            <w:vAlign w:val="center"/>
          </w:tcPr>
          <w:p w14:paraId="21B06A72">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w:t>
            </w:r>
          </w:p>
        </w:tc>
        <w:tc>
          <w:tcPr>
            <w:tcW w:w="1200" w:type="dxa"/>
            <w:vAlign w:val="center"/>
          </w:tcPr>
          <w:p w14:paraId="25B5DFAD">
            <w:pPr>
              <w:spacing w:line="360" w:lineRule="auto"/>
              <w:rPr>
                <w:rFonts w:hint="eastAsia" w:asciiTheme="minorEastAsia" w:hAnsiTheme="minorEastAsia" w:eastAsiaTheme="minorEastAsia" w:cstheme="minorEastAsia"/>
                <w:sz w:val="21"/>
                <w:szCs w:val="16"/>
                <w:highlight w:val="none"/>
              </w:rPr>
            </w:pPr>
          </w:p>
        </w:tc>
        <w:tc>
          <w:tcPr>
            <w:tcW w:w="1943" w:type="dxa"/>
            <w:vAlign w:val="center"/>
          </w:tcPr>
          <w:p w14:paraId="0E42B696">
            <w:pPr>
              <w:spacing w:line="360" w:lineRule="auto"/>
              <w:rPr>
                <w:rFonts w:hint="eastAsia" w:asciiTheme="minorEastAsia" w:hAnsiTheme="minorEastAsia" w:eastAsiaTheme="minorEastAsia" w:cstheme="minorEastAsia"/>
                <w:sz w:val="21"/>
                <w:szCs w:val="16"/>
                <w:highlight w:val="none"/>
              </w:rPr>
            </w:pPr>
          </w:p>
        </w:tc>
        <w:tc>
          <w:tcPr>
            <w:tcW w:w="2370" w:type="dxa"/>
            <w:vAlign w:val="center"/>
          </w:tcPr>
          <w:p w14:paraId="73539FB4">
            <w:pPr>
              <w:spacing w:line="360" w:lineRule="auto"/>
              <w:rPr>
                <w:rFonts w:hint="eastAsia" w:asciiTheme="minorEastAsia" w:hAnsiTheme="minorEastAsia" w:eastAsiaTheme="minorEastAsia" w:cstheme="minorEastAsia"/>
                <w:sz w:val="21"/>
                <w:szCs w:val="16"/>
                <w:highlight w:val="none"/>
              </w:rPr>
            </w:pPr>
          </w:p>
        </w:tc>
        <w:tc>
          <w:tcPr>
            <w:tcW w:w="1357" w:type="dxa"/>
            <w:vAlign w:val="center"/>
          </w:tcPr>
          <w:p w14:paraId="0908995B">
            <w:pPr>
              <w:spacing w:line="360" w:lineRule="auto"/>
              <w:rPr>
                <w:rFonts w:hint="eastAsia" w:asciiTheme="minorEastAsia" w:hAnsiTheme="minorEastAsia" w:eastAsiaTheme="minorEastAsia" w:cstheme="minorEastAsia"/>
                <w:sz w:val="21"/>
                <w:szCs w:val="16"/>
                <w:highlight w:val="none"/>
              </w:rPr>
            </w:pPr>
          </w:p>
        </w:tc>
      </w:tr>
    </w:tbl>
    <w:p w14:paraId="01BEB8EC">
      <w:pPr>
        <w:widowControl/>
        <w:adjustRightInd w:val="0"/>
        <w:snapToGrid w:val="0"/>
        <w:spacing w:line="360" w:lineRule="auto"/>
        <w:jc w:val="left"/>
        <w:rPr>
          <w:rFonts w:hint="eastAsia" w:asciiTheme="minorEastAsia" w:hAnsiTheme="minorEastAsia" w:eastAsiaTheme="minorEastAsia" w:cstheme="minorEastAsia"/>
          <w:sz w:val="21"/>
          <w:szCs w:val="16"/>
          <w:highlight w:val="none"/>
        </w:rPr>
      </w:pPr>
    </w:p>
    <w:p w14:paraId="5BF42F5A">
      <w:pPr>
        <w:pStyle w:val="6"/>
        <w:numPr>
          <w:ilvl w:val="0"/>
          <w:numId w:val="0"/>
        </w:numPr>
        <w:spacing w:line="360" w:lineRule="auto"/>
        <w:ind w:leftChars="0"/>
        <w:rPr>
          <w:rFonts w:hint="eastAsia" w:asciiTheme="minorEastAsia" w:hAnsiTheme="minorEastAsia" w:eastAsiaTheme="minorEastAsia" w:cstheme="minorEastAsia"/>
          <w:sz w:val="21"/>
          <w:szCs w:val="24"/>
          <w:highlight w:val="none"/>
        </w:rPr>
      </w:pPr>
      <w:r>
        <w:rPr>
          <w:rFonts w:hint="eastAsia" w:asciiTheme="minorEastAsia" w:hAnsiTheme="minorEastAsia" w:eastAsiaTheme="minorEastAsia" w:cstheme="minorEastAsia"/>
          <w:sz w:val="21"/>
          <w:szCs w:val="24"/>
          <w:highlight w:val="none"/>
          <w:lang w:val="en-US" w:eastAsia="zh-CN"/>
        </w:rPr>
        <w:t xml:space="preserve">第五条 </w:t>
      </w:r>
      <w:r>
        <w:rPr>
          <w:rFonts w:hint="eastAsia" w:asciiTheme="minorEastAsia" w:hAnsiTheme="minorEastAsia" w:eastAsiaTheme="minorEastAsia" w:cstheme="minorEastAsia"/>
          <w:sz w:val="21"/>
          <w:szCs w:val="24"/>
          <w:highlight w:val="none"/>
        </w:rPr>
        <w:t>合同价及付款方式：</w:t>
      </w:r>
    </w:p>
    <w:p w14:paraId="24311EAF">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5</w:t>
      </w:r>
      <w:r>
        <w:rPr>
          <w:rFonts w:hint="eastAsia" w:asciiTheme="minorEastAsia" w:hAnsiTheme="minorEastAsia" w:eastAsiaTheme="minorEastAsia" w:cstheme="minorEastAsia"/>
          <w:sz w:val="21"/>
          <w:szCs w:val="16"/>
          <w:highlight w:val="none"/>
        </w:rPr>
        <w:t>.1  合同价确定</w:t>
      </w:r>
    </w:p>
    <w:p w14:paraId="1F34FFB5">
      <w:pPr>
        <w:spacing w:line="360" w:lineRule="auto"/>
        <w:rPr>
          <w:rFonts w:hint="eastAsia" w:ascii="宋体" w:hAnsi="宋体"/>
          <w:bCs/>
          <w:sz w:val="20"/>
          <w:szCs w:val="20"/>
          <w:highlight w:val="none"/>
        </w:rPr>
      </w:pPr>
      <w:r>
        <w:rPr>
          <w:rFonts w:hint="eastAsia" w:asciiTheme="minorEastAsia" w:hAnsiTheme="minorEastAsia" w:eastAsiaTheme="minorEastAsia" w:cstheme="minorEastAsia"/>
          <w:sz w:val="21"/>
          <w:szCs w:val="16"/>
          <w:highlight w:val="none"/>
          <w:lang w:val="en-US" w:eastAsia="zh-CN"/>
        </w:rPr>
        <w:t>5</w:t>
      </w:r>
      <w:r>
        <w:rPr>
          <w:rFonts w:hint="eastAsia" w:asciiTheme="minorEastAsia" w:hAnsiTheme="minorEastAsia" w:eastAsiaTheme="minorEastAsia" w:cstheme="minorEastAsia"/>
          <w:sz w:val="21"/>
          <w:szCs w:val="16"/>
          <w:highlight w:val="none"/>
        </w:rPr>
        <w:t>.1.1 本项目</w:t>
      </w:r>
      <w:r>
        <w:rPr>
          <w:rFonts w:hint="eastAsia" w:ascii="宋体" w:hAnsi="宋体"/>
          <w:bCs/>
          <w:sz w:val="20"/>
          <w:szCs w:val="20"/>
          <w:highlight w:val="none"/>
        </w:rPr>
        <w:t>收费</w:t>
      </w:r>
      <w:r>
        <w:rPr>
          <w:rFonts w:hint="eastAsia" w:ascii="宋体" w:hAnsi="宋体" w:cs="Tahoma"/>
          <w:kern w:val="28"/>
          <w:sz w:val="20"/>
          <w:szCs w:val="20"/>
          <w:highlight w:val="none"/>
        </w:rPr>
        <w:t>标准</w:t>
      </w:r>
      <w:r>
        <w:rPr>
          <w:rFonts w:hint="eastAsia" w:ascii="宋体" w:hAnsi="宋体"/>
          <w:bCs/>
          <w:sz w:val="20"/>
          <w:szCs w:val="20"/>
          <w:highlight w:val="none"/>
        </w:rPr>
        <w:t>参照《发改价格</w:t>
      </w:r>
      <w:r>
        <w:rPr>
          <w:rFonts w:hint="eastAsia" w:ascii="宋体" w:hAnsi="宋体"/>
          <w:bCs/>
          <w:strike w:val="0"/>
          <w:dstrike w:val="0"/>
          <w:color w:val="auto"/>
          <w:sz w:val="20"/>
          <w:szCs w:val="20"/>
          <w:highlight w:val="none"/>
          <w:u w:val="none"/>
          <w:shd w:val="clear" w:fill="auto"/>
        </w:rPr>
        <w:t>【</w:t>
      </w:r>
      <w:r>
        <w:rPr>
          <w:rFonts w:hint="eastAsia" w:ascii="宋体" w:hAnsi="宋体"/>
          <w:bCs/>
          <w:sz w:val="20"/>
          <w:szCs w:val="20"/>
          <w:highlight w:val="none"/>
        </w:rPr>
        <w:t>2007</w:t>
      </w:r>
      <w:r>
        <w:rPr>
          <w:rFonts w:hint="eastAsia" w:ascii="宋体" w:hAnsi="宋体"/>
          <w:bCs/>
          <w:strike w:val="0"/>
          <w:dstrike w:val="0"/>
          <w:color w:val="auto"/>
          <w:sz w:val="20"/>
          <w:szCs w:val="20"/>
          <w:highlight w:val="none"/>
          <w:u w:val="none"/>
          <w:shd w:val="clear" w:fill="auto"/>
        </w:rPr>
        <w:t>】</w:t>
      </w:r>
      <w:r>
        <w:rPr>
          <w:rFonts w:hint="eastAsia" w:ascii="宋体" w:hAnsi="宋体"/>
          <w:bCs/>
          <w:sz w:val="20"/>
          <w:szCs w:val="20"/>
          <w:highlight w:val="none"/>
        </w:rPr>
        <w:t>670号》文件执行。</w:t>
      </w:r>
    </w:p>
    <w:p w14:paraId="49DD180A">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监理酬金=施工监理服务收费基准价×监理服务收费系数；</w:t>
      </w:r>
    </w:p>
    <w:p w14:paraId="21AE3DF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①</w:t>
      </w:r>
      <w:r>
        <w:rPr>
          <w:rFonts w:hint="eastAsia" w:asciiTheme="minorEastAsia" w:hAnsiTheme="minorEastAsia" w:eastAsiaTheme="minorEastAsia" w:cstheme="minorEastAsia"/>
          <w:sz w:val="21"/>
          <w:szCs w:val="16"/>
          <w:highlight w:val="none"/>
        </w:rPr>
        <w:t>监理服务收费系数=</w:t>
      </w:r>
      <w:r>
        <w:rPr>
          <w:rFonts w:hint="eastAsia" w:asciiTheme="minorEastAsia" w:hAnsiTheme="minorEastAsia" w:eastAsiaTheme="minorEastAsia" w:cstheme="minorEastAsia"/>
          <w:sz w:val="21"/>
          <w:szCs w:val="16"/>
          <w:highlight w:val="none"/>
          <w:u w:val="single"/>
          <w:lang w:val="en-US" w:eastAsia="zh-CN"/>
        </w:rPr>
        <w:t xml:space="preserve">      </w:t>
      </w:r>
      <w:r>
        <w:rPr>
          <w:rFonts w:hint="eastAsia" w:asciiTheme="minorEastAsia" w:hAnsiTheme="minorEastAsia" w:eastAsiaTheme="minorEastAsia" w:cstheme="minorEastAsia"/>
          <w:sz w:val="21"/>
          <w:szCs w:val="16"/>
          <w:highlight w:val="none"/>
        </w:rPr>
        <w:t>。</w:t>
      </w:r>
    </w:p>
    <w:p w14:paraId="574A3F4A">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②施工监理服务收费基准价=施工监理服务收费基价×专业调整系数×工程复杂程度调整系数×高程调整系数，其中：专业调整系数为</w:t>
      </w:r>
      <w:r>
        <w:rPr>
          <w:rFonts w:hint="eastAsia" w:asciiTheme="minorEastAsia" w:hAnsiTheme="minorEastAsia" w:eastAsiaTheme="minorEastAsia" w:cstheme="minorEastAsia"/>
          <w:strike w:val="0"/>
          <w:dstrike w:val="0"/>
          <w:color w:val="auto"/>
          <w:sz w:val="21"/>
          <w:szCs w:val="16"/>
          <w:highlight w:val="none"/>
          <w:u w:val="none"/>
          <w:shd w:val="clear" w:fill="auto"/>
        </w:rPr>
        <w:t>：</w:t>
      </w:r>
      <w:r>
        <w:rPr>
          <w:rFonts w:hint="eastAsia" w:asciiTheme="minorEastAsia" w:hAnsiTheme="minorEastAsia" w:eastAsiaTheme="minorEastAsia" w:cstheme="minorEastAsia"/>
          <w:sz w:val="21"/>
          <w:szCs w:val="16"/>
          <w:highlight w:val="none"/>
          <w:u w:val="single"/>
        </w:rPr>
        <w:t>1.0</w:t>
      </w:r>
      <w:r>
        <w:rPr>
          <w:rFonts w:hint="eastAsia" w:asciiTheme="minorEastAsia" w:hAnsiTheme="minorEastAsia" w:eastAsiaTheme="minorEastAsia" w:cstheme="minorEastAsia"/>
          <w:strike w:val="0"/>
          <w:dstrike w:val="0"/>
          <w:color w:val="auto"/>
          <w:sz w:val="21"/>
          <w:szCs w:val="16"/>
          <w:highlight w:val="none"/>
          <w:u w:val="none"/>
          <w:shd w:val="clear" w:fill="auto"/>
        </w:rPr>
        <w:t xml:space="preserve"> </w:t>
      </w:r>
      <w:r>
        <w:rPr>
          <w:rFonts w:hint="eastAsia" w:asciiTheme="minorEastAsia" w:hAnsiTheme="minorEastAsia" w:eastAsiaTheme="minorEastAsia" w:cstheme="minorEastAsia"/>
          <w:sz w:val="21"/>
          <w:szCs w:val="16"/>
          <w:highlight w:val="none"/>
        </w:rPr>
        <w:t>、工程复杂程度调整系数为</w:t>
      </w:r>
      <w:r>
        <w:rPr>
          <w:rFonts w:hint="eastAsia" w:asciiTheme="minorEastAsia" w:hAnsiTheme="minorEastAsia" w:eastAsiaTheme="minorEastAsia" w:cstheme="minorEastAsia"/>
          <w:sz w:val="21"/>
          <w:szCs w:val="16"/>
          <w:highlight w:val="none"/>
          <w:u w:val="single"/>
        </w:rPr>
        <w:t>1.0</w:t>
      </w:r>
      <w:r>
        <w:rPr>
          <w:rFonts w:hint="eastAsia" w:asciiTheme="minorEastAsia" w:hAnsiTheme="minorEastAsia" w:eastAsiaTheme="minorEastAsia" w:cstheme="minorEastAsia"/>
          <w:sz w:val="21"/>
          <w:szCs w:val="16"/>
          <w:highlight w:val="none"/>
        </w:rPr>
        <w:t>、高程调整系数为</w:t>
      </w:r>
      <w:r>
        <w:rPr>
          <w:rFonts w:hint="eastAsia" w:asciiTheme="minorEastAsia" w:hAnsiTheme="minorEastAsia" w:eastAsiaTheme="minorEastAsia" w:cstheme="minorEastAsia"/>
          <w:sz w:val="21"/>
          <w:szCs w:val="16"/>
          <w:highlight w:val="none"/>
          <w:u w:val="single"/>
        </w:rPr>
        <w:t>1.0</w:t>
      </w:r>
      <w:r>
        <w:rPr>
          <w:rFonts w:hint="eastAsia" w:asciiTheme="minorEastAsia" w:hAnsiTheme="minorEastAsia" w:eastAsiaTheme="minorEastAsia" w:cstheme="minorEastAsia"/>
          <w:sz w:val="21"/>
          <w:szCs w:val="16"/>
          <w:highlight w:val="none"/>
        </w:rPr>
        <w:t>；具体根据合同实际内容确定。</w:t>
      </w:r>
    </w:p>
    <w:p w14:paraId="200C7CAA">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③施工监理服务收费基价按《施工监理服务收费基价表》确定，结算时以经建设</w:t>
      </w:r>
      <w:r>
        <w:rPr>
          <w:rFonts w:hint="eastAsia" w:asciiTheme="minorEastAsia" w:hAnsiTheme="minorEastAsia" w:eastAsiaTheme="minorEastAsia" w:cstheme="minorEastAsia"/>
          <w:sz w:val="21"/>
          <w:szCs w:val="16"/>
          <w:highlight w:val="none"/>
        </w:rPr>
        <w:t>单位审定的本项目监理范围的施工招标控制价作为工程监理服务收费基价计费额</w:t>
      </w:r>
      <w:r>
        <w:rPr>
          <w:rFonts w:hint="eastAsia" w:asciiTheme="minorEastAsia" w:hAnsiTheme="minorEastAsia" w:eastAsiaTheme="minorEastAsia" w:cstheme="minorEastAsia"/>
          <w:strike w:val="0"/>
          <w:dstrike w:val="0"/>
          <w:color w:val="auto"/>
          <w:sz w:val="21"/>
          <w:szCs w:val="16"/>
          <w:highlight w:val="none"/>
          <w:u w:val="none"/>
          <w:shd w:val="clear" w:fill="auto"/>
        </w:rPr>
        <w:t>,</w:t>
      </w:r>
      <w:r>
        <w:rPr>
          <w:rFonts w:hint="eastAsia" w:asciiTheme="minorEastAsia" w:hAnsiTheme="minorEastAsia" w:eastAsiaTheme="minorEastAsia" w:cstheme="minorEastAsia"/>
          <w:sz w:val="21"/>
          <w:szCs w:val="16"/>
          <w:highlight w:val="none"/>
        </w:rPr>
        <w:t>处于两个数值区间的，采用直线内插法确定施工监理服务收费基价；</w:t>
      </w:r>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66"/>
        <w:gridCol w:w="2669"/>
        <w:gridCol w:w="2833"/>
      </w:tblGrid>
      <w:tr w14:paraId="4ADAF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7868" w:type="dxa"/>
            <w:gridSpan w:val="3"/>
            <w:tcBorders>
              <w:top w:val="single" w:color="000000" w:sz="6" w:space="0"/>
              <w:left w:val="single" w:color="000000" w:sz="6" w:space="0"/>
              <w:bottom w:val="single" w:color="000000" w:sz="6" w:space="0"/>
              <w:right w:val="single" w:color="000000" w:sz="6" w:space="0"/>
            </w:tcBorders>
          </w:tcPr>
          <w:p w14:paraId="559DA082">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施工监理服务收费基价表            单位：万元</w:t>
            </w:r>
          </w:p>
        </w:tc>
      </w:tr>
      <w:tr w14:paraId="1B4CF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6C6C35B3">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序号</w:t>
            </w:r>
          </w:p>
        </w:tc>
        <w:tc>
          <w:tcPr>
            <w:tcW w:w="2669" w:type="dxa"/>
            <w:tcBorders>
              <w:top w:val="single" w:color="000000" w:sz="6" w:space="0"/>
              <w:left w:val="single" w:color="000000" w:sz="6" w:space="0"/>
              <w:bottom w:val="single" w:color="000000" w:sz="6" w:space="0"/>
              <w:right w:val="single" w:color="000000" w:sz="6" w:space="0"/>
            </w:tcBorders>
          </w:tcPr>
          <w:p w14:paraId="16CE48CC">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计费额</w:t>
            </w:r>
          </w:p>
        </w:tc>
        <w:tc>
          <w:tcPr>
            <w:tcW w:w="2833" w:type="dxa"/>
            <w:tcBorders>
              <w:top w:val="single" w:color="000000" w:sz="6" w:space="0"/>
              <w:left w:val="single" w:color="000000" w:sz="6" w:space="0"/>
              <w:bottom w:val="single" w:color="000000" w:sz="6" w:space="0"/>
              <w:right w:val="single" w:color="000000" w:sz="6" w:space="0"/>
            </w:tcBorders>
          </w:tcPr>
          <w:p w14:paraId="3B163E93">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收费基价</w:t>
            </w:r>
          </w:p>
        </w:tc>
      </w:tr>
      <w:tr w14:paraId="47AE8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7EC2913C">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w:t>
            </w:r>
          </w:p>
        </w:tc>
        <w:tc>
          <w:tcPr>
            <w:tcW w:w="2669" w:type="dxa"/>
            <w:tcBorders>
              <w:top w:val="single" w:color="000000" w:sz="6" w:space="0"/>
              <w:left w:val="single" w:color="000000" w:sz="6" w:space="0"/>
              <w:bottom w:val="single" w:color="000000" w:sz="6" w:space="0"/>
              <w:right w:val="single" w:color="000000" w:sz="6" w:space="0"/>
            </w:tcBorders>
          </w:tcPr>
          <w:p w14:paraId="1F5BFFEB">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500</w:t>
            </w:r>
          </w:p>
        </w:tc>
        <w:tc>
          <w:tcPr>
            <w:tcW w:w="2833" w:type="dxa"/>
            <w:tcBorders>
              <w:top w:val="single" w:color="000000" w:sz="6" w:space="0"/>
              <w:left w:val="single" w:color="000000" w:sz="6" w:space="0"/>
              <w:bottom w:val="single" w:color="000000" w:sz="6" w:space="0"/>
              <w:right w:val="single" w:color="000000" w:sz="6" w:space="0"/>
            </w:tcBorders>
          </w:tcPr>
          <w:p w14:paraId="1A1953BD">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16.5</w:t>
            </w:r>
          </w:p>
        </w:tc>
      </w:tr>
      <w:tr w14:paraId="514C8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2542BBFB">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w:t>
            </w:r>
          </w:p>
        </w:tc>
        <w:tc>
          <w:tcPr>
            <w:tcW w:w="2669" w:type="dxa"/>
            <w:tcBorders>
              <w:top w:val="single" w:color="000000" w:sz="6" w:space="0"/>
              <w:left w:val="single" w:color="000000" w:sz="6" w:space="0"/>
              <w:bottom w:val="single" w:color="000000" w:sz="6" w:space="0"/>
              <w:right w:val="single" w:color="000000" w:sz="6" w:space="0"/>
            </w:tcBorders>
          </w:tcPr>
          <w:p w14:paraId="04178A33">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1000</w:t>
            </w:r>
          </w:p>
        </w:tc>
        <w:tc>
          <w:tcPr>
            <w:tcW w:w="2833" w:type="dxa"/>
            <w:tcBorders>
              <w:top w:val="single" w:color="000000" w:sz="6" w:space="0"/>
              <w:left w:val="single" w:color="000000" w:sz="6" w:space="0"/>
              <w:bottom w:val="single" w:color="000000" w:sz="6" w:space="0"/>
              <w:right w:val="single" w:color="000000" w:sz="6" w:space="0"/>
            </w:tcBorders>
          </w:tcPr>
          <w:p w14:paraId="401E4BFD">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30.1</w:t>
            </w:r>
          </w:p>
        </w:tc>
      </w:tr>
      <w:tr w14:paraId="0F5A0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794B7A6D">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w:t>
            </w:r>
          </w:p>
        </w:tc>
        <w:tc>
          <w:tcPr>
            <w:tcW w:w="2669" w:type="dxa"/>
            <w:tcBorders>
              <w:top w:val="single" w:color="000000" w:sz="6" w:space="0"/>
              <w:left w:val="single" w:color="000000" w:sz="6" w:space="0"/>
              <w:bottom w:val="single" w:color="000000" w:sz="6" w:space="0"/>
              <w:right w:val="single" w:color="000000" w:sz="6" w:space="0"/>
            </w:tcBorders>
          </w:tcPr>
          <w:p w14:paraId="4A2F34AA">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3000</w:t>
            </w:r>
          </w:p>
        </w:tc>
        <w:tc>
          <w:tcPr>
            <w:tcW w:w="2833" w:type="dxa"/>
            <w:tcBorders>
              <w:top w:val="single" w:color="000000" w:sz="6" w:space="0"/>
              <w:left w:val="single" w:color="000000" w:sz="6" w:space="0"/>
              <w:bottom w:val="single" w:color="000000" w:sz="6" w:space="0"/>
              <w:right w:val="single" w:color="000000" w:sz="6" w:space="0"/>
            </w:tcBorders>
          </w:tcPr>
          <w:p w14:paraId="6562ECE8">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78.1</w:t>
            </w:r>
          </w:p>
        </w:tc>
      </w:tr>
      <w:tr w14:paraId="4146D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7150F61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4</w:t>
            </w:r>
          </w:p>
        </w:tc>
        <w:tc>
          <w:tcPr>
            <w:tcW w:w="2669" w:type="dxa"/>
            <w:tcBorders>
              <w:top w:val="single" w:color="000000" w:sz="6" w:space="0"/>
              <w:left w:val="single" w:color="000000" w:sz="6" w:space="0"/>
              <w:bottom w:val="single" w:color="000000" w:sz="6" w:space="0"/>
              <w:right w:val="single" w:color="000000" w:sz="6" w:space="0"/>
            </w:tcBorders>
          </w:tcPr>
          <w:p w14:paraId="03E9C24B">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5000</w:t>
            </w:r>
          </w:p>
        </w:tc>
        <w:tc>
          <w:tcPr>
            <w:tcW w:w="2833" w:type="dxa"/>
            <w:tcBorders>
              <w:top w:val="single" w:color="000000" w:sz="6" w:space="0"/>
              <w:left w:val="single" w:color="000000" w:sz="6" w:space="0"/>
              <w:bottom w:val="single" w:color="000000" w:sz="6" w:space="0"/>
              <w:right w:val="single" w:color="000000" w:sz="6" w:space="0"/>
            </w:tcBorders>
          </w:tcPr>
          <w:p w14:paraId="14DB86AB">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120.8</w:t>
            </w:r>
          </w:p>
        </w:tc>
      </w:tr>
      <w:tr w14:paraId="72B09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2851E499">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5</w:t>
            </w:r>
          </w:p>
        </w:tc>
        <w:tc>
          <w:tcPr>
            <w:tcW w:w="2669" w:type="dxa"/>
            <w:tcBorders>
              <w:top w:val="single" w:color="000000" w:sz="6" w:space="0"/>
              <w:left w:val="single" w:color="000000" w:sz="6" w:space="0"/>
              <w:bottom w:val="single" w:color="000000" w:sz="6" w:space="0"/>
              <w:right w:val="single" w:color="000000" w:sz="6" w:space="0"/>
            </w:tcBorders>
          </w:tcPr>
          <w:p w14:paraId="239E04E6">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8000</w:t>
            </w:r>
          </w:p>
        </w:tc>
        <w:tc>
          <w:tcPr>
            <w:tcW w:w="2833" w:type="dxa"/>
            <w:tcBorders>
              <w:top w:val="single" w:color="000000" w:sz="6" w:space="0"/>
              <w:left w:val="single" w:color="000000" w:sz="6" w:space="0"/>
              <w:bottom w:val="single" w:color="000000" w:sz="6" w:space="0"/>
              <w:right w:val="single" w:color="000000" w:sz="6" w:space="0"/>
            </w:tcBorders>
          </w:tcPr>
          <w:p w14:paraId="10A87166">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181.0</w:t>
            </w:r>
          </w:p>
        </w:tc>
      </w:tr>
      <w:tr w14:paraId="5E1C8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6C8B3A30">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6</w:t>
            </w:r>
          </w:p>
        </w:tc>
        <w:tc>
          <w:tcPr>
            <w:tcW w:w="2669" w:type="dxa"/>
            <w:tcBorders>
              <w:top w:val="single" w:color="000000" w:sz="6" w:space="0"/>
              <w:left w:val="single" w:color="000000" w:sz="6" w:space="0"/>
              <w:bottom w:val="single" w:color="000000" w:sz="6" w:space="0"/>
              <w:right w:val="single" w:color="000000" w:sz="6" w:space="0"/>
            </w:tcBorders>
          </w:tcPr>
          <w:p w14:paraId="1B981FE1">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10000</w:t>
            </w:r>
          </w:p>
        </w:tc>
        <w:tc>
          <w:tcPr>
            <w:tcW w:w="2833" w:type="dxa"/>
            <w:tcBorders>
              <w:top w:val="single" w:color="000000" w:sz="6" w:space="0"/>
              <w:left w:val="single" w:color="000000" w:sz="6" w:space="0"/>
              <w:bottom w:val="single" w:color="000000" w:sz="6" w:space="0"/>
              <w:right w:val="single" w:color="000000" w:sz="6" w:space="0"/>
            </w:tcBorders>
          </w:tcPr>
          <w:p w14:paraId="02A0A990">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218.6</w:t>
            </w:r>
          </w:p>
        </w:tc>
      </w:tr>
      <w:tr w14:paraId="5D2FA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244075CB">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7</w:t>
            </w:r>
          </w:p>
        </w:tc>
        <w:tc>
          <w:tcPr>
            <w:tcW w:w="2669" w:type="dxa"/>
            <w:tcBorders>
              <w:top w:val="single" w:color="000000" w:sz="6" w:space="0"/>
              <w:left w:val="single" w:color="000000" w:sz="6" w:space="0"/>
              <w:bottom w:val="single" w:color="000000" w:sz="6" w:space="0"/>
              <w:right w:val="single" w:color="000000" w:sz="6" w:space="0"/>
            </w:tcBorders>
          </w:tcPr>
          <w:p w14:paraId="46A2367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20000</w:t>
            </w:r>
          </w:p>
        </w:tc>
        <w:tc>
          <w:tcPr>
            <w:tcW w:w="2833" w:type="dxa"/>
            <w:tcBorders>
              <w:top w:val="single" w:color="000000" w:sz="6" w:space="0"/>
              <w:left w:val="single" w:color="000000" w:sz="6" w:space="0"/>
              <w:bottom w:val="single" w:color="000000" w:sz="6" w:space="0"/>
              <w:right w:val="single" w:color="000000" w:sz="6" w:space="0"/>
            </w:tcBorders>
          </w:tcPr>
          <w:p w14:paraId="566146EC">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393.4</w:t>
            </w:r>
          </w:p>
        </w:tc>
      </w:tr>
      <w:tr w14:paraId="3F73B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5CF46C6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8</w:t>
            </w:r>
          </w:p>
        </w:tc>
        <w:tc>
          <w:tcPr>
            <w:tcW w:w="2669" w:type="dxa"/>
            <w:tcBorders>
              <w:top w:val="single" w:color="000000" w:sz="6" w:space="0"/>
              <w:left w:val="single" w:color="000000" w:sz="6" w:space="0"/>
              <w:bottom w:val="single" w:color="000000" w:sz="6" w:space="0"/>
              <w:right w:val="single" w:color="000000" w:sz="6" w:space="0"/>
            </w:tcBorders>
          </w:tcPr>
          <w:p w14:paraId="2CAFD6F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40000</w:t>
            </w:r>
          </w:p>
        </w:tc>
        <w:tc>
          <w:tcPr>
            <w:tcW w:w="2833" w:type="dxa"/>
            <w:tcBorders>
              <w:top w:val="single" w:color="000000" w:sz="6" w:space="0"/>
              <w:left w:val="single" w:color="000000" w:sz="6" w:space="0"/>
              <w:bottom w:val="single" w:color="000000" w:sz="6" w:space="0"/>
              <w:right w:val="single" w:color="000000" w:sz="6" w:space="0"/>
            </w:tcBorders>
          </w:tcPr>
          <w:p w14:paraId="63370CFF">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708.2</w:t>
            </w:r>
          </w:p>
        </w:tc>
      </w:tr>
      <w:tr w14:paraId="15C77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13798069">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9</w:t>
            </w:r>
          </w:p>
        </w:tc>
        <w:tc>
          <w:tcPr>
            <w:tcW w:w="2669" w:type="dxa"/>
            <w:tcBorders>
              <w:top w:val="single" w:color="000000" w:sz="6" w:space="0"/>
              <w:left w:val="single" w:color="000000" w:sz="6" w:space="0"/>
              <w:bottom w:val="single" w:color="000000" w:sz="6" w:space="0"/>
              <w:right w:val="single" w:color="000000" w:sz="6" w:space="0"/>
            </w:tcBorders>
          </w:tcPr>
          <w:p w14:paraId="30648BEB">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60000</w:t>
            </w:r>
          </w:p>
        </w:tc>
        <w:tc>
          <w:tcPr>
            <w:tcW w:w="2833" w:type="dxa"/>
            <w:tcBorders>
              <w:top w:val="single" w:color="000000" w:sz="6" w:space="0"/>
              <w:left w:val="single" w:color="000000" w:sz="6" w:space="0"/>
              <w:bottom w:val="single" w:color="000000" w:sz="6" w:space="0"/>
              <w:right w:val="single" w:color="000000" w:sz="6" w:space="0"/>
            </w:tcBorders>
          </w:tcPr>
          <w:p w14:paraId="324E8604">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991.4</w:t>
            </w:r>
          </w:p>
        </w:tc>
      </w:tr>
      <w:tr w14:paraId="3C385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269DD923">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10</w:t>
            </w:r>
          </w:p>
        </w:tc>
        <w:tc>
          <w:tcPr>
            <w:tcW w:w="2669" w:type="dxa"/>
            <w:tcBorders>
              <w:top w:val="single" w:color="000000" w:sz="6" w:space="0"/>
              <w:left w:val="single" w:color="000000" w:sz="6" w:space="0"/>
              <w:bottom w:val="single" w:color="000000" w:sz="6" w:space="0"/>
              <w:right w:val="single" w:color="000000" w:sz="6" w:space="0"/>
            </w:tcBorders>
          </w:tcPr>
          <w:p w14:paraId="16AB60CD">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80000</w:t>
            </w:r>
          </w:p>
        </w:tc>
        <w:tc>
          <w:tcPr>
            <w:tcW w:w="2833" w:type="dxa"/>
            <w:tcBorders>
              <w:top w:val="single" w:color="000000" w:sz="6" w:space="0"/>
              <w:left w:val="single" w:color="000000" w:sz="6" w:space="0"/>
              <w:bottom w:val="single" w:color="000000" w:sz="6" w:space="0"/>
              <w:right w:val="single" w:color="000000" w:sz="6" w:space="0"/>
            </w:tcBorders>
          </w:tcPr>
          <w:p w14:paraId="0D8929C2">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1255.8</w:t>
            </w:r>
          </w:p>
        </w:tc>
      </w:tr>
      <w:tr w14:paraId="7EE8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0DFC6F93">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11</w:t>
            </w:r>
          </w:p>
        </w:tc>
        <w:tc>
          <w:tcPr>
            <w:tcW w:w="2669" w:type="dxa"/>
            <w:tcBorders>
              <w:top w:val="single" w:color="000000" w:sz="6" w:space="0"/>
              <w:left w:val="single" w:color="000000" w:sz="6" w:space="0"/>
              <w:bottom w:val="single" w:color="000000" w:sz="6" w:space="0"/>
              <w:right w:val="single" w:color="000000" w:sz="6" w:space="0"/>
            </w:tcBorders>
          </w:tcPr>
          <w:p w14:paraId="33C4256D">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100000</w:t>
            </w:r>
          </w:p>
        </w:tc>
        <w:tc>
          <w:tcPr>
            <w:tcW w:w="2833" w:type="dxa"/>
            <w:tcBorders>
              <w:top w:val="single" w:color="000000" w:sz="6" w:space="0"/>
              <w:left w:val="single" w:color="000000" w:sz="6" w:space="0"/>
              <w:bottom w:val="single" w:color="000000" w:sz="6" w:space="0"/>
              <w:right w:val="single" w:color="000000" w:sz="6" w:space="0"/>
            </w:tcBorders>
          </w:tcPr>
          <w:p w14:paraId="4F9D5C31">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1507.0</w:t>
            </w:r>
          </w:p>
        </w:tc>
      </w:tr>
      <w:tr w14:paraId="264CF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081BD466">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12</w:t>
            </w:r>
          </w:p>
        </w:tc>
        <w:tc>
          <w:tcPr>
            <w:tcW w:w="2669" w:type="dxa"/>
            <w:tcBorders>
              <w:top w:val="single" w:color="000000" w:sz="6" w:space="0"/>
              <w:left w:val="single" w:color="000000" w:sz="6" w:space="0"/>
              <w:bottom w:val="single" w:color="000000" w:sz="6" w:space="0"/>
              <w:right w:val="single" w:color="000000" w:sz="6" w:space="0"/>
            </w:tcBorders>
          </w:tcPr>
          <w:p w14:paraId="169E967E">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200000</w:t>
            </w:r>
          </w:p>
        </w:tc>
        <w:tc>
          <w:tcPr>
            <w:tcW w:w="2833" w:type="dxa"/>
            <w:tcBorders>
              <w:top w:val="single" w:color="000000" w:sz="6" w:space="0"/>
              <w:left w:val="single" w:color="000000" w:sz="6" w:space="0"/>
              <w:bottom w:val="single" w:color="000000" w:sz="6" w:space="0"/>
              <w:right w:val="single" w:color="000000" w:sz="6" w:space="0"/>
            </w:tcBorders>
          </w:tcPr>
          <w:p w14:paraId="78F84D9A">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2712.5</w:t>
            </w:r>
          </w:p>
        </w:tc>
      </w:tr>
      <w:tr w14:paraId="13A43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15E0F171">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13</w:t>
            </w:r>
          </w:p>
        </w:tc>
        <w:tc>
          <w:tcPr>
            <w:tcW w:w="2669" w:type="dxa"/>
            <w:tcBorders>
              <w:top w:val="single" w:color="000000" w:sz="6" w:space="0"/>
              <w:left w:val="single" w:color="000000" w:sz="6" w:space="0"/>
              <w:bottom w:val="single" w:color="000000" w:sz="6" w:space="0"/>
              <w:right w:val="single" w:color="000000" w:sz="6" w:space="0"/>
            </w:tcBorders>
          </w:tcPr>
          <w:p w14:paraId="0985EE12">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400000</w:t>
            </w:r>
          </w:p>
        </w:tc>
        <w:tc>
          <w:tcPr>
            <w:tcW w:w="2833" w:type="dxa"/>
            <w:tcBorders>
              <w:top w:val="single" w:color="000000" w:sz="6" w:space="0"/>
              <w:left w:val="single" w:color="000000" w:sz="6" w:space="0"/>
              <w:bottom w:val="single" w:color="000000" w:sz="6" w:space="0"/>
              <w:right w:val="single" w:color="000000" w:sz="6" w:space="0"/>
            </w:tcBorders>
          </w:tcPr>
          <w:p w14:paraId="4D9AF8FD">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4882.6</w:t>
            </w:r>
          </w:p>
        </w:tc>
      </w:tr>
      <w:tr w14:paraId="28884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392FB195">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14</w:t>
            </w:r>
          </w:p>
        </w:tc>
        <w:tc>
          <w:tcPr>
            <w:tcW w:w="2669" w:type="dxa"/>
            <w:tcBorders>
              <w:top w:val="single" w:color="000000" w:sz="6" w:space="0"/>
              <w:left w:val="single" w:color="000000" w:sz="6" w:space="0"/>
              <w:bottom w:val="single" w:color="000000" w:sz="6" w:space="0"/>
              <w:right w:val="single" w:color="000000" w:sz="6" w:space="0"/>
            </w:tcBorders>
          </w:tcPr>
          <w:p w14:paraId="03C288C1">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600000</w:t>
            </w:r>
          </w:p>
        </w:tc>
        <w:tc>
          <w:tcPr>
            <w:tcW w:w="2833" w:type="dxa"/>
            <w:tcBorders>
              <w:top w:val="single" w:color="000000" w:sz="6" w:space="0"/>
              <w:left w:val="single" w:color="000000" w:sz="6" w:space="0"/>
              <w:bottom w:val="single" w:color="000000" w:sz="6" w:space="0"/>
              <w:right w:val="single" w:color="000000" w:sz="6" w:space="0"/>
            </w:tcBorders>
          </w:tcPr>
          <w:p w14:paraId="0B432D9F">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6835.6</w:t>
            </w:r>
          </w:p>
        </w:tc>
      </w:tr>
      <w:tr w14:paraId="7556A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10BDF13D">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15</w:t>
            </w:r>
          </w:p>
        </w:tc>
        <w:tc>
          <w:tcPr>
            <w:tcW w:w="2669" w:type="dxa"/>
            <w:tcBorders>
              <w:top w:val="single" w:color="000000" w:sz="6" w:space="0"/>
              <w:left w:val="single" w:color="000000" w:sz="6" w:space="0"/>
              <w:bottom w:val="single" w:color="000000" w:sz="6" w:space="0"/>
              <w:right w:val="single" w:color="000000" w:sz="6" w:space="0"/>
            </w:tcBorders>
          </w:tcPr>
          <w:p w14:paraId="3242D66F">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800000</w:t>
            </w:r>
          </w:p>
        </w:tc>
        <w:tc>
          <w:tcPr>
            <w:tcW w:w="2833" w:type="dxa"/>
            <w:tcBorders>
              <w:top w:val="single" w:color="000000" w:sz="6" w:space="0"/>
              <w:left w:val="single" w:color="000000" w:sz="6" w:space="0"/>
              <w:bottom w:val="single" w:color="000000" w:sz="6" w:space="0"/>
              <w:right w:val="single" w:color="000000" w:sz="6" w:space="0"/>
            </w:tcBorders>
          </w:tcPr>
          <w:p w14:paraId="2D1EB54C">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8</w:t>
            </w:r>
            <w:r>
              <w:rPr>
                <w:rFonts w:hint="eastAsia" w:asciiTheme="minorEastAsia" w:hAnsiTheme="minorEastAsia" w:eastAsiaTheme="minorEastAsia" w:cstheme="minorEastAsia"/>
                <w:strike w:val="0"/>
                <w:dstrike w:val="0"/>
                <w:color w:val="auto"/>
                <w:sz w:val="21"/>
                <w:szCs w:val="16"/>
                <w:highlight w:val="none"/>
                <w:u w:val="none"/>
                <w:shd w:val="clear" w:fill="auto"/>
              </w:rPr>
              <w:t>6</w:t>
            </w:r>
            <w:r>
              <w:rPr>
                <w:rFonts w:hint="eastAsia" w:asciiTheme="minorEastAsia" w:hAnsiTheme="minorEastAsia" w:eastAsiaTheme="minorEastAsia" w:cstheme="minorEastAsia"/>
                <w:sz w:val="21"/>
                <w:szCs w:val="16"/>
                <w:highlight w:val="none"/>
              </w:rPr>
              <w:t>58.4</w:t>
            </w:r>
          </w:p>
        </w:tc>
      </w:tr>
      <w:tr w14:paraId="3A241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2366" w:type="dxa"/>
            <w:tcBorders>
              <w:top w:val="single" w:color="000000" w:sz="6" w:space="0"/>
              <w:left w:val="single" w:color="000000" w:sz="6" w:space="0"/>
              <w:bottom w:val="single" w:color="000000" w:sz="6" w:space="0"/>
              <w:right w:val="single" w:color="000000" w:sz="6" w:space="0"/>
            </w:tcBorders>
          </w:tcPr>
          <w:p w14:paraId="40899ACD">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16</w:t>
            </w:r>
          </w:p>
        </w:tc>
        <w:tc>
          <w:tcPr>
            <w:tcW w:w="2669" w:type="dxa"/>
            <w:tcBorders>
              <w:top w:val="single" w:color="000000" w:sz="6" w:space="0"/>
              <w:left w:val="single" w:color="000000" w:sz="6" w:space="0"/>
              <w:bottom w:val="single" w:color="000000" w:sz="6" w:space="0"/>
              <w:right w:val="single" w:color="000000" w:sz="6" w:space="0"/>
            </w:tcBorders>
          </w:tcPr>
          <w:p w14:paraId="103063AE">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1000000 </w:t>
            </w:r>
          </w:p>
        </w:tc>
        <w:tc>
          <w:tcPr>
            <w:tcW w:w="2833" w:type="dxa"/>
            <w:tcBorders>
              <w:top w:val="single" w:color="000000" w:sz="6" w:space="0"/>
              <w:left w:val="single" w:color="000000" w:sz="6" w:space="0"/>
              <w:bottom w:val="single" w:color="000000" w:sz="6" w:space="0"/>
              <w:right w:val="single" w:color="000000" w:sz="6" w:space="0"/>
            </w:tcBorders>
          </w:tcPr>
          <w:p w14:paraId="64935797">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10390.1</w:t>
            </w:r>
          </w:p>
        </w:tc>
      </w:tr>
      <w:tr w14:paraId="6AF84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7868" w:type="dxa"/>
            <w:gridSpan w:val="3"/>
            <w:tcBorders>
              <w:top w:val="single" w:color="000000" w:sz="6" w:space="0"/>
              <w:left w:val="single" w:color="000000" w:sz="6" w:space="0"/>
              <w:bottom w:val="single" w:color="000000" w:sz="6" w:space="0"/>
              <w:right w:val="single" w:color="000000" w:sz="6" w:space="0"/>
            </w:tcBorders>
          </w:tcPr>
          <w:p w14:paraId="25E78EE8">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注：计费额大于1000000万元的，以计费额乘以1.039%的收费率计算收费基价。其他未包含的其收费由双方协商议定。</w:t>
            </w:r>
          </w:p>
        </w:tc>
      </w:tr>
    </w:tbl>
    <w:p w14:paraId="6ECF3F11">
      <w:pPr>
        <w:spacing w:line="360" w:lineRule="auto"/>
        <w:rPr>
          <w:rFonts w:hint="eastAsia" w:asciiTheme="minorEastAsia" w:hAnsiTheme="minorEastAsia" w:eastAsiaTheme="minorEastAsia" w:cstheme="minorEastAsia"/>
          <w:sz w:val="21"/>
          <w:szCs w:val="16"/>
          <w:highlight w:val="none"/>
        </w:rPr>
      </w:pPr>
      <w:bookmarkStart w:id="5" w:name="_OAIOperationRangsNextChunk"/>
      <w:bookmarkStart w:id="6" w:name="_OAIOperationRangsCurrentChunkStart"/>
      <w:bookmarkStart w:id="7" w:name="_OAIOperationRangsCurrentChunkEnd"/>
    </w:p>
    <w:bookmarkEnd w:id="5"/>
    <w:p w14:paraId="5B58EA1B">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④本工程暂以</w:t>
      </w:r>
      <w:r>
        <w:rPr>
          <w:rFonts w:hint="eastAsia" w:asciiTheme="minorEastAsia" w:hAnsiTheme="minorEastAsia" w:eastAsiaTheme="minorEastAsia" w:cstheme="minorEastAsia"/>
          <w:strike w:val="0"/>
          <w:dstrike w:val="0"/>
          <w:color w:val="auto"/>
          <w:sz w:val="21"/>
          <w:szCs w:val="16"/>
          <w:highlight w:val="none"/>
          <w:u w:val="none"/>
          <w:shd w:val="clear" w:fill="auto"/>
        </w:rPr>
        <w:t xml:space="preserve"> </w:t>
      </w:r>
      <w:r>
        <w:rPr>
          <w:rFonts w:hint="eastAsia" w:asciiTheme="minorEastAsia" w:hAnsiTheme="minorEastAsia" w:eastAsiaTheme="minorEastAsia" w:cstheme="minorEastAsia"/>
          <w:sz w:val="21"/>
          <w:szCs w:val="16"/>
          <w:highlight w:val="none"/>
          <w:u w:val="single"/>
          <w:lang w:val="en-US" w:eastAsia="zh-CN"/>
        </w:rPr>
        <w:t>310</w:t>
      </w:r>
      <w:r>
        <w:rPr>
          <w:rFonts w:hint="eastAsia" w:asciiTheme="minorEastAsia" w:hAnsiTheme="minorEastAsia" w:eastAsiaTheme="minorEastAsia" w:cstheme="minorEastAsia"/>
          <w:sz w:val="21"/>
          <w:szCs w:val="16"/>
          <w:highlight w:val="none"/>
          <w:u w:val="single"/>
        </w:rPr>
        <w:t>万元</w:t>
      </w:r>
      <w:r>
        <w:rPr>
          <w:rFonts w:hint="eastAsia" w:asciiTheme="minorEastAsia" w:hAnsiTheme="minorEastAsia" w:eastAsiaTheme="minorEastAsia" w:cstheme="minorEastAsia"/>
          <w:sz w:val="21"/>
          <w:szCs w:val="16"/>
          <w:highlight w:val="none"/>
        </w:rPr>
        <w:t xml:space="preserve">为计费额，查表计算施工监理服务收费基准价为 </w:t>
      </w:r>
      <w:r>
        <w:rPr>
          <w:rFonts w:hint="eastAsia" w:asciiTheme="minorEastAsia" w:hAnsiTheme="minorEastAsia" w:eastAsiaTheme="minorEastAsia" w:cstheme="minorEastAsia"/>
          <w:sz w:val="21"/>
          <w:szCs w:val="16"/>
          <w:highlight w:val="none"/>
          <w:u w:val="single"/>
        </w:rPr>
        <w:t xml:space="preserve"> / </w:t>
      </w:r>
      <w:r>
        <w:rPr>
          <w:rFonts w:hint="eastAsia" w:asciiTheme="minorEastAsia" w:hAnsiTheme="minorEastAsia" w:eastAsiaTheme="minorEastAsia" w:cstheme="minorEastAsia"/>
          <w:sz w:val="21"/>
          <w:szCs w:val="16"/>
          <w:highlight w:val="none"/>
        </w:rPr>
        <w:t xml:space="preserve"> 万元，故本项目的暂定监理合同价款（监理酬金）=</w:t>
      </w:r>
      <w:r>
        <w:rPr>
          <w:rFonts w:hint="eastAsia" w:asciiTheme="minorEastAsia" w:hAnsiTheme="minorEastAsia" w:eastAsiaTheme="minorEastAsia" w:cstheme="minorEastAsia"/>
          <w:sz w:val="21"/>
          <w:szCs w:val="16"/>
          <w:highlight w:val="none"/>
          <w:u w:val="single"/>
          <w:lang w:val="en-US" w:eastAsia="zh-CN"/>
        </w:rPr>
        <w:t xml:space="preserve">       </w:t>
      </w:r>
      <w:r>
        <w:rPr>
          <w:rFonts w:hint="eastAsia" w:asciiTheme="minorEastAsia" w:hAnsiTheme="minorEastAsia" w:eastAsiaTheme="minorEastAsia" w:cstheme="minorEastAsia"/>
          <w:sz w:val="21"/>
          <w:szCs w:val="16"/>
          <w:highlight w:val="none"/>
        </w:rPr>
        <w:t>元，结算时以经发包人审定的本项目监理范围</w:t>
      </w:r>
      <w:r>
        <w:rPr>
          <w:rFonts w:hint="eastAsia" w:asciiTheme="minorEastAsia" w:hAnsiTheme="minorEastAsia" w:eastAsiaTheme="minorEastAsia" w:cstheme="minorEastAsia"/>
          <w:sz w:val="21"/>
          <w:szCs w:val="16"/>
          <w:highlight w:val="none"/>
          <w:lang w:val="en-US" w:eastAsia="zh-CN"/>
        </w:rPr>
        <w:t>施工</w:t>
      </w:r>
      <w:r>
        <w:rPr>
          <w:rFonts w:hint="eastAsia" w:asciiTheme="minorEastAsia" w:hAnsiTheme="minorEastAsia" w:eastAsiaTheme="minorEastAsia" w:cstheme="minorEastAsia"/>
          <w:sz w:val="21"/>
          <w:szCs w:val="16"/>
          <w:highlight w:val="none"/>
        </w:rPr>
        <w:t>合同</w:t>
      </w:r>
      <w:r>
        <w:rPr>
          <w:rFonts w:hint="eastAsia" w:asciiTheme="minorEastAsia" w:hAnsiTheme="minorEastAsia" w:eastAsiaTheme="minorEastAsia" w:cstheme="minorEastAsia"/>
          <w:strike w:val="0"/>
          <w:dstrike w:val="0"/>
          <w:color w:val="auto"/>
          <w:sz w:val="21"/>
          <w:szCs w:val="16"/>
          <w:highlight w:val="none"/>
          <w:u w:val="none"/>
          <w:shd w:val="clear" w:fill="auto"/>
        </w:rPr>
        <w:t>价</w:t>
      </w:r>
      <w:r>
        <w:rPr>
          <w:rFonts w:hint="eastAsia" w:asciiTheme="minorEastAsia" w:hAnsiTheme="minorEastAsia" w:eastAsiaTheme="minorEastAsia" w:cstheme="minorEastAsia"/>
          <w:sz w:val="21"/>
          <w:szCs w:val="16"/>
          <w:highlight w:val="none"/>
          <w:lang w:val="en-US" w:eastAsia="zh-CN"/>
        </w:rPr>
        <w:t>签</w:t>
      </w:r>
      <w:r>
        <w:rPr>
          <w:rFonts w:hint="eastAsia" w:asciiTheme="minorEastAsia" w:hAnsiTheme="minorEastAsia" w:eastAsiaTheme="minorEastAsia" w:cstheme="minorEastAsia"/>
          <w:strike w:val="0"/>
          <w:dstrike w:val="0"/>
          <w:color w:val="auto"/>
          <w:sz w:val="21"/>
          <w:szCs w:val="16"/>
          <w:highlight w:val="none"/>
          <w:u w:val="none"/>
          <w:shd w:val="clear" w:fill="auto"/>
          <w:lang w:val="en-US" w:eastAsia="zh-CN"/>
        </w:rPr>
        <w:t>订</w:t>
      </w:r>
      <w:r>
        <w:rPr>
          <w:rFonts w:hint="eastAsia" w:asciiTheme="minorEastAsia" w:hAnsiTheme="minorEastAsia" w:eastAsiaTheme="minorEastAsia" w:cstheme="minorEastAsia"/>
          <w:sz w:val="21"/>
          <w:szCs w:val="16"/>
          <w:highlight w:val="none"/>
          <w:lang w:val="en-US" w:eastAsia="zh-CN"/>
        </w:rPr>
        <w:t>价</w:t>
      </w:r>
      <w:r>
        <w:rPr>
          <w:rFonts w:hint="eastAsia" w:asciiTheme="minorEastAsia" w:hAnsiTheme="minorEastAsia" w:eastAsiaTheme="minorEastAsia" w:cstheme="minorEastAsia"/>
          <w:sz w:val="21"/>
          <w:szCs w:val="16"/>
          <w:highlight w:val="none"/>
        </w:rPr>
        <w:t>为工程监理服务收费</w:t>
      </w:r>
      <w:r>
        <w:rPr>
          <w:rFonts w:hint="eastAsia" w:asciiTheme="minorEastAsia" w:hAnsiTheme="minorEastAsia" w:eastAsiaTheme="minorEastAsia" w:cstheme="minorEastAsia"/>
          <w:strike w:val="0"/>
          <w:dstrike w:val="0"/>
          <w:color w:val="auto"/>
          <w:sz w:val="21"/>
          <w:szCs w:val="16"/>
          <w:highlight w:val="none"/>
          <w:u w:val="none"/>
          <w:shd w:val="clear" w:fill="auto"/>
        </w:rPr>
        <w:t>基价</w:t>
      </w:r>
      <w:r>
        <w:rPr>
          <w:rFonts w:hint="eastAsia" w:asciiTheme="minorEastAsia" w:hAnsiTheme="minorEastAsia" w:eastAsiaTheme="minorEastAsia" w:cstheme="minorEastAsia"/>
          <w:sz w:val="21"/>
          <w:szCs w:val="16"/>
          <w:highlight w:val="none"/>
        </w:rPr>
        <w:t>计费额。</w:t>
      </w:r>
    </w:p>
    <w:p w14:paraId="280B9C08">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5</w:t>
      </w:r>
      <w:r>
        <w:rPr>
          <w:rFonts w:hint="eastAsia" w:asciiTheme="minorEastAsia" w:hAnsiTheme="minorEastAsia" w:eastAsiaTheme="minorEastAsia" w:cstheme="minorEastAsia"/>
          <w:sz w:val="21"/>
          <w:szCs w:val="16"/>
          <w:highlight w:val="none"/>
        </w:rPr>
        <w:t>.1.2本监理招标项目的合同为总价包干合同，在监理责任期内完成工程施工阶段</w:t>
      </w:r>
      <w:r>
        <w:rPr>
          <w:rFonts w:hint="eastAsia" w:asciiTheme="minorEastAsia" w:hAnsiTheme="minorEastAsia" w:eastAsiaTheme="minorEastAsia" w:cstheme="minorEastAsia"/>
          <w:strike w:val="0"/>
          <w:dstrike w:val="0"/>
          <w:color w:val="auto"/>
          <w:sz w:val="21"/>
          <w:szCs w:val="16"/>
          <w:highlight w:val="none"/>
          <w:u w:val="none"/>
          <w:shd w:val="clear" w:fill="auto"/>
        </w:rPr>
        <w:t>的</w:t>
      </w:r>
      <w:r>
        <w:rPr>
          <w:rFonts w:hint="eastAsia" w:asciiTheme="minorEastAsia" w:hAnsiTheme="minorEastAsia" w:eastAsiaTheme="minorEastAsia" w:cstheme="minorEastAsia"/>
          <w:sz w:val="21"/>
          <w:szCs w:val="16"/>
          <w:highlight w:val="none"/>
        </w:rPr>
        <w:t>施工监理工作的全部报酬，包括但不限于：监理人的成本、工作人员的基本工资、工资性津贴、社会保险费用（基本养老、基本医疗、失业、工伤保险等）、住房公积金、职工福利费、工会经费、劳动保护费；办公费、会议费、差旅交通费、固定资产使用费（包括办公及生活房屋折旧、维修或租赁费，车辆折旧、维修、使用或租赁费，通讯设备购置、使用费，测量、试验、检测设备仪器折旧、维修或租赁费，其他设备折旧、维修或租赁费等）、零星固定资产购置费、招募生产工人费；技术图书资料费、职工教育经费、投标费用；合同契约公证费、咨询费、业务招待费；财务费用、监理人的临时设施费、各种税费和其他管理性开支等一切费用</w:t>
      </w:r>
      <w:r>
        <w:rPr>
          <w:rFonts w:hint="eastAsia" w:asciiTheme="minorEastAsia" w:hAnsiTheme="minorEastAsia" w:eastAsiaTheme="minorEastAsia" w:cstheme="minorEastAsia"/>
          <w:strike w:val="0"/>
          <w:dstrike w:val="0"/>
          <w:color w:val="auto"/>
          <w:sz w:val="21"/>
          <w:szCs w:val="16"/>
          <w:highlight w:val="none"/>
          <w:u w:val="none"/>
          <w:shd w:val="clear" w:fill="auto"/>
        </w:rPr>
        <w:t>等</w:t>
      </w:r>
      <w:r>
        <w:rPr>
          <w:rFonts w:hint="eastAsia" w:asciiTheme="minorEastAsia" w:hAnsiTheme="minorEastAsia" w:eastAsiaTheme="minorEastAsia" w:cstheme="minorEastAsia"/>
          <w:sz w:val="21"/>
          <w:szCs w:val="16"/>
          <w:highlight w:val="none"/>
        </w:rPr>
        <w:t>。除本合同另有约定，施工监理服务收费在本合同执行过程中不作调整。</w:t>
      </w:r>
    </w:p>
    <w:p w14:paraId="614603F5">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5</w:t>
      </w:r>
      <w:r>
        <w:rPr>
          <w:rFonts w:hint="eastAsia" w:asciiTheme="minorEastAsia" w:hAnsiTheme="minorEastAsia" w:eastAsiaTheme="minorEastAsia" w:cstheme="minorEastAsia"/>
          <w:sz w:val="21"/>
          <w:szCs w:val="16"/>
          <w:highlight w:val="none"/>
        </w:rPr>
        <w:t>.2  根据工程分期建设的情况，分阶段支付监理报酬：</w:t>
      </w:r>
    </w:p>
    <w:p w14:paraId="6B66200F">
      <w:pPr>
        <w:pStyle w:val="2"/>
        <w:rPr>
          <w:rFonts w:hint="eastAsia" w:asciiTheme="minorEastAsia" w:hAnsiTheme="minorEastAsia" w:eastAsiaTheme="minorEastAsia" w:cstheme="minorEastAsia"/>
          <w:sz w:val="21"/>
          <w:szCs w:val="16"/>
          <w:highlight w:val="none"/>
          <w:lang w:eastAsia="zh-CN"/>
        </w:rPr>
      </w:pPr>
      <w:r>
        <w:rPr>
          <w:rFonts w:hint="eastAsia" w:asciiTheme="minorEastAsia" w:hAnsiTheme="minorEastAsia" w:eastAsiaTheme="minorEastAsia" w:cstheme="minorEastAsia"/>
          <w:sz w:val="21"/>
          <w:szCs w:val="16"/>
          <w:highlight w:val="none"/>
          <w:lang w:val="en-US" w:eastAsia="zh-CN"/>
        </w:rPr>
        <w:t xml:space="preserve">   ①施工阶段，</w:t>
      </w:r>
      <w:r>
        <w:rPr>
          <w:rFonts w:hint="eastAsia" w:asciiTheme="minorEastAsia" w:hAnsiTheme="minorEastAsia" w:eastAsiaTheme="minorEastAsia" w:cstheme="minorEastAsia"/>
          <w:sz w:val="21"/>
          <w:szCs w:val="16"/>
          <w:highlight w:val="none"/>
        </w:rPr>
        <w:t>按当月应付监理费的80%支付（以当月完成的施工进度款为基数计算），支付至暂定监理费的80%后不再支付</w:t>
      </w:r>
      <w:r>
        <w:rPr>
          <w:rFonts w:hint="eastAsia" w:asciiTheme="minorEastAsia" w:hAnsiTheme="minorEastAsia" w:eastAsiaTheme="minorEastAsia" w:cstheme="minorEastAsia"/>
          <w:sz w:val="21"/>
          <w:szCs w:val="16"/>
          <w:highlight w:val="none"/>
          <w:lang w:eastAsia="zh-CN"/>
        </w:rPr>
        <w:t>。</w:t>
      </w:r>
    </w:p>
    <w:p w14:paraId="706484F4">
      <w:pPr>
        <w:rPr>
          <w:rFonts w:hint="eastAsia" w:asciiTheme="minorEastAsia" w:hAnsiTheme="minorEastAsia" w:eastAsiaTheme="minorEastAsia" w:cstheme="minorEastAsia"/>
          <w:kern w:val="2"/>
          <w:sz w:val="21"/>
          <w:szCs w:val="16"/>
          <w:highlight w:val="none"/>
          <w:lang w:val="en-US" w:eastAsia="zh-CN" w:bidi="ar-SA"/>
        </w:rPr>
      </w:pPr>
      <w:r>
        <w:rPr>
          <w:rFonts w:hint="eastAsia" w:asciiTheme="minorEastAsia" w:hAnsiTheme="minorEastAsia" w:eastAsiaTheme="minorEastAsia" w:cstheme="minorEastAsia"/>
          <w:kern w:val="2"/>
          <w:sz w:val="21"/>
          <w:szCs w:val="16"/>
          <w:highlight w:val="none"/>
          <w:lang w:val="en-US" w:eastAsia="zh-CN" w:bidi="ar-SA"/>
        </w:rPr>
        <w:t>②工程竣工验收合格支付至监理费结算价的95%；</w:t>
      </w:r>
    </w:p>
    <w:p w14:paraId="21AA7CE6">
      <w:pPr>
        <w:rPr>
          <w:rFonts w:hint="default" w:asciiTheme="minorEastAsia" w:hAnsiTheme="minorEastAsia" w:eastAsiaTheme="minorEastAsia" w:cstheme="minorEastAsia"/>
          <w:kern w:val="2"/>
          <w:sz w:val="21"/>
          <w:szCs w:val="16"/>
          <w:highlight w:val="none"/>
          <w:lang w:val="en-US" w:eastAsia="zh-CN" w:bidi="ar-SA"/>
        </w:rPr>
      </w:pPr>
      <w:r>
        <w:rPr>
          <w:rFonts w:hint="eastAsia" w:asciiTheme="minorEastAsia" w:hAnsiTheme="minorEastAsia" w:eastAsiaTheme="minorEastAsia" w:cstheme="minorEastAsia"/>
          <w:kern w:val="2"/>
          <w:sz w:val="21"/>
          <w:szCs w:val="16"/>
          <w:highlight w:val="none"/>
          <w:lang w:val="en-US" w:eastAsia="zh-CN" w:bidi="ar-SA"/>
        </w:rPr>
        <w:t>③工程缺陷责任期满后支付剩余5%。</w:t>
      </w:r>
    </w:p>
    <w:p w14:paraId="204FD358">
      <w:pPr>
        <w:widowControl/>
        <w:tabs>
          <w:tab w:val="left" w:pos="720"/>
        </w:tabs>
        <w:adjustRightInd w:val="0"/>
        <w:snapToGrid w:val="0"/>
        <w:spacing w:line="360" w:lineRule="auto"/>
        <w:jc w:val="left"/>
        <w:rPr>
          <w:rFonts w:hint="eastAsia" w:asciiTheme="minorEastAsia" w:hAnsiTheme="minorEastAsia" w:eastAsiaTheme="minorEastAsia" w:cstheme="minorEastAsia"/>
          <w:b/>
          <w:bCs/>
          <w:kern w:val="0"/>
          <w:sz w:val="21"/>
          <w:szCs w:val="16"/>
          <w:highlight w:val="none"/>
        </w:rPr>
      </w:pPr>
    </w:p>
    <w:p w14:paraId="61B40074">
      <w:pPr>
        <w:widowControl/>
        <w:tabs>
          <w:tab w:val="left" w:pos="720"/>
        </w:tabs>
        <w:adjustRightInd w:val="0"/>
        <w:snapToGrid w:val="0"/>
        <w:spacing w:line="360" w:lineRule="auto"/>
        <w:jc w:val="left"/>
        <w:rPr>
          <w:rFonts w:hint="eastAsia" w:ascii="宋体" w:hAnsi="宋体" w:eastAsia="宋体" w:cs="宋体"/>
          <w:kern w:val="0"/>
          <w:sz w:val="21"/>
          <w:szCs w:val="16"/>
          <w:highlight w:val="none"/>
        </w:rPr>
      </w:pPr>
      <w:r>
        <w:rPr>
          <w:rFonts w:hint="eastAsia" w:asciiTheme="minorEastAsia" w:hAnsiTheme="minorEastAsia" w:eastAsiaTheme="minorEastAsia" w:cstheme="minorEastAsia"/>
          <w:b/>
          <w:bCs/>
          <w:kern w:val="0"/>
          <w:sz w:val="21"/>
          <w:szCs w:val="16"/>
          <w:highlight w:val="none"/>
        </w:rPr>
        <w:t>第</w:t>
      </w:r>
      <w:r>
        <w:rPr>
          <w:rFonts w:hint="eastAsia" w:asciiTheme="minorEastAsia" w:hAnsiTheme="minorEastAsia" w:eastAsiaTheme="minorEastAsia" w:cstheme="minorEastAsia"/>
          <w:b/>
          <w:bCs/>
          <w:kern w:val="0"/>
          <w:sz w:val="21"/>
          <w:szCs w:val="16"/>
          <w:highlight w:val="none"/>
          <w:lang w:val="en-US" w:eastAsia="zh-CN"/>
        </w:rPr>
        <w:t>六</w:t>
      </w:r>
      <w:r>
        <w:rPr>
          <w:rFonts w:hint="eastAsia" w:asciiTheme="minorEastAsia" w:hAnsiTheme="minorEastAsia" w:eastAsiaTheme="minorEastAsia" w:cstheme="minorEastAsia"/>
          <w:b/>
          <w:bCs/>
          <w:kern w:val="0"/>
          <w:sz w:val="21"/>
          <w:szCs w:val="16"/>
          <w:highlight w:val="none"/>
        </w:rPr>
        <w:t>条</w:t>
      </w:r>
      <w:r>
        <w:rPr>
          <w:rFonts w:hint="eastAsia" w:asciiTheme="minorEastAsia" w:hAnsiTheme="minorEastAsia" w:eastAsiaTheme="minorEastAsia" w:cstheme="minorEastAsia"/>
          <w:kern w:val="0"/>
          <w:sz w:val="21"/>
          <w:szCs w:val="16"/>
          <w:highlight w:val="none"/>
        </w:rPr>
        <w:t>　因履行本合同发生的争议，由双方协商解决，协商不成的，由双方选择以下第</w:t>
      </w:r>
      <w:r>
        <w:rPr>
          <w:rFonts w:hint="eastAsia" w:asciiTheme="minorEastAsia" w:hAnsiTheme="minorEastAsia" w:eastAsiaTheme="minorEastAsia" w:cstheme="minorEastAsia"/>
          <w:kern w:val="0"/>
          <w:sz w:val="21"/>
          <w:szCs w:val="16"/>
          <w:highlight w:val="none"/>
          <w:u w:val="single"/>
        </w:rPr>
        <w:t xml:space="preserve">  （一）</w:t>
      </w:r>
      <w:r>
        <w:rPr>
          <w:rFonts w:hint="eastAsia" w:asciiTheme="minorEastAsia" w:hAnsiTheme="minorEastAsia" w:eastAsiaTheme="minorEastAsia" w:cstheme="minorEastAsia"/>
          <w:kern w:val="0"/>
          <w:sz w:val="21"/>
          <w:szCs w:val="16"/>
          <w:highlight w:val="none"/>
        </w:rPr>
        <w:t xml:space="preserve">  项作为争议解决方式：（一）向东莞仲裁</w:t>
      </w:r>
      <w:r>
        <w:rPr>
          <w:rFonts w:hint="eastAsia" w:ascii="宋体" w:hAnsi="宋体" w:eastAsia="宋体" w:cs="宋体"/>
          <w:kern w:val="0"/>
          <w:sz w:val="21"/>
          <w:szCs w:val="16"/>
          <w:highlight w:val="none"/>
        </w:rPr>
        <w:t>委员会申请仲裁；（二）向</w:t>
      </w:r>
      <w:r>
        <w:rPr>
          <w:rFonts w:hint="eastAsia" w:ascii="宋体" w:hAnsi="宋体" w:eastAsia="宋体" w:cs="宋体"/>
          <w:kern w:val="0"/>
          <w:sz w:val="21"/>
          <w:szCs w:val="16"/>
          <w:highlight w:val="none"/>
          <w:u w:val="single"/>
        </w:rPr>
        <w:t xml:space="preserve">      /     </w:t>
      </w:r>
      <w:r>
        <w:rPr>
          <w:rFonts w:hint="eastAsia" w:ascii="宋体" w:hAnsi="宋体" w:eastAsia="宋体" w:cs="宋体"/>
          <w:kern w:val="0"/>
          <w:sz w:val="21"/>
          <w:szCs w:val="16"/>
          <w:highlight w:val="none"/>
        </w:rPr>
        <w:t>（请填写其他仲裁机构）申请仲裁；（三）向</w:t>
      </w:r>
      <w:r>
        <w:rPr>
          <w:rFonts w:hint="eastAsia" w:ascii="宋体" w:hAnsi="宋体" w:eastAsia="宋体" w:cs="宋体"/>
          <w:strike w:val="0"/>
          <w:dstrike w:val="0"/>
          <w:color w:val="auto"/>
          <w:kern w:val="0"/>
          <w:sz w:val="21"/>
          <w:szCs w:val="16"/>
          <w:highlight w:val="none"/>
          <w:u w:val="none"/>
          <w:shd w:val="clear" w:fill="auto"/>
        </w:rPr>
        <w:t xml:space="preserve"> </w:t>
      </w:r>
      <w:r>
        <w:rPr>
          <w:rFonts w:hint="eastAsia" w:ascii="宋体" w:hAnsi="宋体" w:eastAsia="宋体" w:cs="宋体"/>
          <w:kern w:val="0"/>
          <w:sz w:val="21"/>
          <w:szCs w:val="16"/>
          <w:highlight w:val="none"/>
          <w:u w:val="single"/>
        </w:rPr>
        <w:t>采购人住所地的人民法院</w:t>
      </w:r>
      <w:r>
        <w:rPr>
          <w:rFonts w:hint="eastAsia" w:ascii="宋体" w:hAnsi="宋体" w:eastAsia="宋体" w:cs="宋体"/>
          <w:kern w:val="0"/>
          <w:sz w:val="21"/>
          <w:szCs w:val="16"/>
          <w:highlight w:val="none"/>
        </w:rPr>
        <w:t>提起诉讼。</w:t>
      </w:r>
    </w:p>
    <w:p w14:paraId="1499D335">
      <w:pPr>
        <w:widowControl/>
        <w:adjustRightInd w:val="0"/>
        <w:snapToGrid w:val="0"/>
        <w:spacing w:line="360" w:lineRule="auto"/>
        <w:jc w:val="left"/>
        <w:rPr>
          <w:rFonts w:hint="eastAsia" w:ascii="宋体" w:hAnsi="宋体" w:eastAsia="宋体" w:cs="宋体"/>
          <w:b/>
          <w:kern w:val="0"/>
          <w:sz w:val="21"/>
          <w:szCs w:val="16"/>
          <w:highlight w:val="none"/>
        </w:rPr>
      </w:pPr>
    </w:p>
    <w:p w14:paraId="2D5EC67B">
      <w:pPr>
        <w:pStyle w:val="2"/>
        <w:spacing w:line="360" w:lineRule="auto"/>
        <w:rPr>
          <w:rFonts w:hint="eastAsia" w:ascii="宋体" w:hAnsi="宋体" w:eastAsia="宋体" w:cs="宋体"/>
          <w:sz w:val="18"/>
          <w:szCs w:val="16"/>
          <w:highlight w:val="none"/>
        </w:rPr>
      </w:pPr>
      <w:r>
        <w:rPr>
          <w:rFonts w:hint="eastAsia" w:ascii="宋体" w:hAnsi="宋体" w:eastAsia="宋体" w:cs="宋体"/>
          <w:b/>
          <w:bCs/>
          <w:kern w:val="0"/>
          <w:sz w:val="21"/>
          <w:szCs w:val="21"/>
          <w:highlight w:val="none"/>
        </w:rPr>
        <w:t>第</w:t>
      </w:r>
      <w:r>
        <w:rPr>
          <w:rFonts w:hint="eastAsia" w:ascii="宋体" w:hAnsi="宋体" w:eastAsia="宋体" w:cs="宋体"/>
          <w:b/>
          <w:bCs/>
          <w:kern w:val="0"/>
          <w:sz w:val="21"/>
          <w:szCs w:val="21"/>
          <w:highlight w:val="none"/>
          <w:lang w:val="en-US" w:eastAsia="zh-CN"/>
        </w:rPr>
        <w:t>七</w:t>
      </w:r>
      <w:r>
        <w:rPr>
          <w:rFonts w:hint="eastAsia" w:ascii="宋体" w:hAnsi="宋体" w:eastAsia="宋体" w:cs="宋体"/>
          <w:b/>
          <w:bCs/>
          <w:kern w:val="0"/>
          <w:sz w:val="21"/>
          <w:szCs w:val="21"/>
          <w:highlight w:val="none"/>
        </w:rPr>
        <w:t>条</w:t>
      </w:r>
      <w:r>
        <w:rPr>
          <w:rFonts w:hint="eastAsia" w:ascii="宋体" w:hAnsi="宋体" w:eastAsia="宋体" w:cs="宋体"/>
          <w:sz w:val="21"/>
          <w:szCs w:val="21"/>
          <w:highlight w:val="none"/>
        </w:rPr>
        <w:t xml:space="preserve"> 补充条款</w:t>
      </w:r>
      <w:r>
        <w:rPr>
          <w:rFonts w:hint="eastAsia" w:ascii="宋体" w:hAnsi="宋体" w:eastAsia="宋体" w:cs="宋体"/>
          <w:sz w:val="18"/>
          <w:szCs w:val="16"/>
          <w:highlight w:val="none"/>
        </w:rPr>
        <w:t>：</w:t>
      </w:r>
    </w:p>
    <w:p w14:paraId="2BAE15EE">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宋体" w:hAnsi="宋体" w:eastAsia="宋体" w:cs="宋体"/>
          <w:sz w:val="21"/>
          <w:szCs w:val="16"/>
          <w:highlight w:val="none"/>
          <w:lang w:val="en-US" w:eastAsia="zh-CN"/>
        </w:rPr>
        <w:t>7</w:t>
      </w:r>
      <w:r>
        <w:rPr>
          <w:rFonts w:hint="eastAsia" w:ascii="宋体" w:hAnsi="宋体" w:eastAsia="宋体" w:cs="宋体"/>
          <w:sz w:val="21"/>
          <w:szCs w:val="16"/>
          <w:highlight w:val="none"/>
        </w:rPr>
        <w:t>.1除合同约定的监理人责任</w:t>
      </w:r>
      <w:r>
        <w:rPr>
          <w:rFonts w:hint="eastAsia" w:asciiTheme="minorEastAsia" w:hAnsiTheme="minorEastAsia" w:eastAsiaTheme="minorEastAsia" w:cstheme="minorEastAsia"/>
          <w:sz w:val="21"/>
          <w:szCs w:val="16"/>
          <w:highlight w:val="none"/>
        </w:rPr>
        <w:t>外，监理人还需对有电梯安装的施工现场安全生产负监理责任；督促施工总承包企业与电梯安装单位签订安全管理合同，明确各自安全责任。</w:t>
      </w:r>
    </w:p>
    <w:p w14:paraId="42BA07AD">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.2监理费中已包括了为实施和完成本项目全部监理咨询工作所需的全部费用：监理成本、税金和利润(包括办公及检测仪器费、工资、加班费、食宿、通讯、交通及其</w:t>
      </w:r>
      <w:r>
        <w:rPr>
          <w:rFonts w:hint="eastAsia" w:asciiTheme="minorEastAsia" w:hAnsiTheme="minorEastAsia" w:eastAsiaTheme="minorEastAsia" w:cstheme="minorEastAsia"/>
          <w:strike w:val="0"/>
          <w:dstrike w:val="0"/>
          <w:color w:val="auto"/>
          <w:sz w:val="21"/>
          <w:szCs w:val="16"/>
          <w:highlight w:val="none"/>
          <w:u w:val="none"/>
          <w:shd w:val="clear" w:fill="auto"/>
        </w:rPr>
        <w:t>它</w:t>
      </w:r>
      <w:r>
        <w:rPr>
          <w:rFonts w:hint="eastAsia" w:asciiTheme="minorEastAsia" w:hAnsiTheme="minorEastAsia" w:eastAsiaTheme="minorEastAsia" w:cstheme="minorEastAsia"/>
          <w:sz w:val="21"/>
          <w:szCs w:val="16"/>
          <w:highlight w:val="none"/>
        </w:rPr>
        <w:t>后勤保障)。</w:t>
      </w:r>
    </w:p>
    <w:p w14:paraId="2BDFBD2D">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.3拟派驻本项目的总监理工程师或监理工程师</w:t>
      </w:r>
      <w:r>
        <w:rPr>
          <w:rFonts w:hint="eastAsia" w:asciiTheme="minorEastAsia" w:hAnsiTheme="minorEastAsia" w:eastAsiaTheme="minorEastAsia" w:cstheme="minorEastAsia"/>
          <w:kern w:val="0"/>
          <w:sz w:val="21"/>
          <w:szCs w:val="16"/>
          <w:highlight w:val="none"/>
          <w:u w:val="single"/>
        </w:rPr>
        <w:t>除发生下列情形之一外，不得更换：(1) 因重病或重伤（持有县、区以上医院证明）两个月以上不能履行职责的；(2) 主动辞职或调离原工作单位的；(3) 因管理原因发生重大工程质量、安全事故，委托人认为该监理人员不称职需要更换的；(4) 无能力履行合同的责任和义务，造成严重后果，委托人要求更换的；(5) 因违法被责令停止执业的；(6) 被司法机关羁押或判刑的；(7) 死亡的；（8）</w:t>
      </w:r>
      <w:r>
        <w:rPr>
          <w:rFonts w:hint="eastAsia" w:asciiTheme="minorEastAsia" w:hAnsiTheme="minorEastAsia" w:eastAsiaTheme="minorEastAsia" w:cstheme="minorEastAsia"/>
          <w:sz w:val="21"/>
          <w:szCs w:val="16"/>
          <w:highlight w:val="none"/>
          <w:u w:val="single"/>
        </w:rPr>
        <w:t>不能按照监理合同的规定履行监理服务的</w:t>
      </w:r>
      <w:r>
        <w:rPr>
          <w:rFonts w:hint="eastAsia" w:asciiTheme="minorEastAsia" w:hAnsiTheme="minorEastAsia" w:eastAsiaTheme="minorEastAsia" w:cstheme="minorEastAsia"/>
          <w:kern w:val="0"/>
          <w:sz w:val="21"/>
          <w:szCs w:val="16"/>
          <w:highlight w:val="none"/>
          <w:u w:val="single"/>
        </w:rPr>
        <w:t>。</w:t>
      </w:r>
      <w:r>
        <w:rPr>
          <w:rFonts w:hint="eastAsia" w:asciiTheme="minorEastAsia" w:hAnsiTheme="minorEastAsia" w:eastAsiaTheme="minorEastAsia" w:cstheme="minorEastAsia"/>
          <w:sz w:val="21"/>
          <w:szCs w:val="16"/>
          <w:highlight w:val="none"/>
        </w:rPr>
        <w:t>(若由于疾病、意外伤害等原因必须请假</w:t>
      </w:r>
      <w:r>
        <w:rPr>
          <w:rFonts w:hint="eastAsia" w:asciiTheme="minorEastAsia" w:hAnsiTheme="minorEastAsia" w:eastAsiaTheme="minorEastAsia" w:cstheme="minorEastAsia"/>
          <w:strike w:val="0"/>
          <w:dstrike w:val="0"/>
          <w:color w:val="auto"/>
          <w:sz w:val="21"/>
          <w:szCs w:val="16"/>
          <w:highlight w:val="none"/>
          <w:u w:val="none"/>
          <w:shd w:val="clear" w:fill="auto"/>
        </w:rPr>
        <w:t>期间</w:t>
      </w:r>
      <w:r>
        <w:rPr>
          <w:rFonts w:hint="eastAsia" w:asciiTheme="minorEastAsia" w:hAnsiTheme="minorEastAsia" w:eastAsiaTheme="minorEastAsia" w:cstheme="minorEastAsia"/>
          <w:sz w:val="21"/>
          <w:szCs w:val="16"/>
          <w:highlight w:val="none"/>
        </w:rPr>
        <w:t>，乙方必须提供工程所在地甲级医院出具的病历、发票报甲方审核，同意后方可另派专业相符</w:t>
      </w:r>
      <w:r>
        <w:rPr>
          <w:rFonts w:hint="eastAsia" w:asciiTheme="minorEastAsia" w:hAnsiTheme="minorEastAsia" w:eastAsiaTheme="minorEastAsia" w:cstheme="minorEastAsia"/>
          <w:strike w:val="0"/>
          <w:dstrike w:val="0"/>
          <w:color w:val="auto"/>
          <w:sz w:val="21"/>
          <w:szCs w:val="16"/>
          <w:highlight w:val="none"/>
          <w:u w:val="none"/>
          <w:shd w:val="clear" w:fill="auto"/>
        </w:rPr>
        <w:t>，</w:t>
      </w:r>
      <w:r>
        <w:rPr>
          <w:rFonts w:hint="eastAsia" w:asciiTheme="minorEastAsia" w:hAnsiTheme="minorEastAsia" w:eastAsiaTheme="minorEastAsia" w:cstheme="minorEastAsia"/>
          <w:sz w:val="21"/>
          <w:szCs w:val="16"/>
          <w:highlight w:val="none"/>
        </w:rPr>
        <w:t>资质等级不低于原总监或监理工程师的代理人驻本项目进行工作，原总监或监理工程师请假结束后继续驻本项目工作，代理人可以退场)，否则视为违约。代理人的资格不能满足合同文件要求的，委托人有权单方解除。如果原总监或监理工程师请假结束后不继续驻本项目工作的，委托人可对监理人处予人民币2000元/次的违约金。</w:t>
      </w:r>
    </w:p>
    <w:p w14:paraId="1E0CE5DF">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.4总监离开现场必须向甲方的工程师代表书面请假，经批准方可离开，否则视为乙方的违约行为，每次违约，招标人对中标人处予每天人民币1000元的违约金。</w:t>
      </w:r>
    </w:p>
    <w:p w14:paraId="439CD017">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.5施工现场配备的所有人员必须具有相应的任职资格，</w:t>
      </w:r>
      <w:r>
        <w:rPr>
          <w:rFonts w:hint="eastAsia" w:asciiTheme="minorEastAsia" w:hAnsiTheme="minorEastAsia" w:eastAsiaTheme="minorEastAsia" w:cstheme="minorEastAsia"/>
          <w:strike w:val="0"/>
          <w:dstrike w:val="0"/>
          <w:color w:val="auto"/>
          <w:sz w:val="21"/>
          <w:szCs w:val="16"/>
          <w:highlight w:val="none"/>
          <w:u w:val="none"/>
          <w:shd w:val="clear" w:fill="auto"/>
        </w:rPr>
        <w:t>并于</w:t>
      </w:r>
      <w:r>
        <w:rPr>
          <w:rFonts w:hint="eastAsia" w:asciiTheme="minorEastAsia" w:hAnsiTheme="minorEastAsia" w:eastAsiaTheme="minorEastAsia" w:cstheme="minorEastAsia"/>
          <w:sz w:val="21"/>
          <w:szCs w:val="16"/>
          <w:highlight w:val="none"/>
        </w:rPr>
        <w:t>签订合同后7天内乙方必须向甲方现场工程师报送人员名单和联系方式(主要管理人员和技术人员必须配备手机并保持24小时畅通，未经甲方批准上述人员的手机号码在工程完成竣工验收之前不得更换)；提供资格证书复印件(同时提供原件核对)、在乙方单位缴纳三个月以上的社保证明等资料进行审核、备案。监理过程中必须在工地现场设立宣传栏，将总监理工程师和本项目要求的其他所有监理管理机构人员的相片予以公示，经委托人检查未落实的，委托人对监理人</w:t>
      </w:r>
      <w:r>
        <w:rPr>
          <w:rFonts w:hint="eastAsia" w:asciiTheme="minorEastAsia" w:hAnsiTheme="minorEastAsia" w:eastAsiaTheme="minorEastAsia" w:cstheme="minorEastAsia"/>
          <w:strike w:val="0"/>
          <w:dstrike w:val="0"/>
          <w:color w:val="auto"/>
          <w:sz w:val="21"/>
          <w:szCs w:val="16"/>
          <w:highlight w:val="none"/>
          <w:u w:val="none"/>
          <w:shd w:val="clear" w:fill="auto"/>
        </w:rPr>
        <w:t>将</w:t>
      </w:r>
      <w:r>
        <w:rPr>
          <w:rFonts w:hint="eastAsia" w:asciiTheme="minorEastAsia" w:hAnsiTheme="minorEastAsia" w:eastAsiaTheme="minorEastAsia" w:cstheme="minorEastAsia"/>
          <w:sz w:val="21"/>
          <w:szCs w:val="16"/>
          <w:highlight w:val="none"/>
        </w:rPr>
        <w:t>处予人民币1000元/人/次的违约金。</w:t>
      </w:r>
    </w:p>
    <w:p w14:paraId="4962623E">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.6监理过程中，监理人员必须统一上装、统一标识、佩戴工作证、安全帽，服装要有别于施工单位，以便于识别。实施夜间施工监理时，监理人员还必须配穿反光衣。不按要求统一着装的每人次违约金</w:t>
      </w:r>
      <w:r>
        <w:rPr>
          <w:rFonts w:hint="eastAsia" w:asciiTheme="minorEastAsia" w:hAnsiTheme="minorEastAsia" w:eastAsiaTheme="minorEastAsia" w:cstheme="minorEastAsia"/>
          <w:sz w:val="21"/>
          <w:szCs w:val="16"/>
          <w:highlight w:val="none"/>
          <w:lang w:val="en-US" w:eastAsia="zh-CN"/>
        </w:rPr>
        <w:t>2</w:t>
      </w:r>
      <w:r>
        <w:rPr>
          <w:rFonts w:hint="eastAsia" w:asciiTheme="minorEastAsia" w:hAnsiTheme="minorEastAsia" w:eastAsiaTheme="minorEastAsia" w:cstheme="minorEastAsia"/>
          <w:sz w:val="21"/>
          <w:szCs w:val="16"/>
          <w:highlight w:val="none"/>
        </w:rPr>
        <w:t>00元。</w:t>
      </w:r>
    </w:p>
    <w:p w14:paraId="5B6872CA">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.7本监理项目共两个阶段，两个阶段的驻场监理人员分配都必须满足合同要求，并且需同时满足甲方现场工作安排；监理过程中，委托人对监理人员到位进行检查，检查过程中如监理人员不到场</w:t>
      </w:r>
      <w:r>
        <w:rPr>
          <w:rFonts w:hint="eastAsia" w:asciiTheme="minorEastAsia" w:hAnsiTheme="minorEastAsia" w:eastAsiaTheme="minorEastAsia" w:cstheme="minorEastAsia"/>
          <w:strike w:val="0"/>
          <w:dstrike w:val="0"/>
          <w:color w:val="auto"/>
          <w:sz w:val="21"/>
          <w:szCs w:val="16"/>
          <w:highlight w:val="none"/>
          <w:u w:val="none"/>
          <w:shd w:val="clear" w:fill="auto"/>
        </w:rPr>
        <w:t>的</w:t>
      </w:r>
      <w:r>
        <w:rPr>
          <w:rFonts w:hint="eastAsia" w:asciiTheme="minorEastAsia" w:hAnsiTheme="minorEastAsia" w:eastAsiaTheme="minorEastAsia" w:cstheme="minorEastAsia"/>
          <w:sz w:val="21"/>
          <w:szCs w:val="16"/>
          <w:highlight w:val="none"/>
        </w:rPr>
        <w:t>，</w:t>
      </w:r>
      <w:r>
        <w:rPr>
          <w:rFonts w:hint="eastAsia" w:asciiTheme="minorEastAsia" w:hAnsiTheme="minorEastAsia" w:eastAsiaTheme="minorEastAsia" w:cstheme="minorEastAsia"/>
          <w:strike w:val="0"/>
          <w:dstrike w:val="0"/>
          <w:color w:val="auto"/>
          <w:sz w:val="21"/>
          <w:szCs w:val="16"/>
          <w:highlight w:val="none"/>
          <w:u w:val="none"/>
          <w:shd w:val="clear" w:fill="auto"/>
        </w:rPr>
        <w:t>并</w:t>
      </w:r>
      <w:r>
        <w:rPr>
          <w:rFonts w:hint="eastAsia" w:asciiTheme="minorEastAsia" w:hAnsiTheme="minorEastAsia" w:eastAsiaTheme="minorEastAsia" w:cstheme="minorEastAsia"/>
          <w:sz w:val="21"/>
          <w:szCs w:val="16"/>
          <w:highlight w:val="none"/>
        </w:rPr>
        <w:t>通过电话通知30分钟内不能到位的，按人员不到位登记，并视为违约，总监每次处予人民币</w:t>
      </w:r>
      <w:r>
        <w:rPr>
          <w:rFonts w:hint="eastAsia" w:asciiTheme="minorEastAsia" w:hAnsiTheme="minorEastAsia" w:eastAsiaTheme="minorEastAsia" w:cstheme="minorEastAsia"/>
          <w:sz w:val="21"/>
          <w:szCs w:val="16"/>
          <w:highlight w:val="none"/>
          <w:lang w:val="en-US" w:eastAsia="zh-CN"/>
        </w:rPr>
        <w:t>1</w:t>
      </w:r>
      <w:r>
        <w:rPr>
          <w:rFonts w:hint="eastAsia" w:asciiTheme="minorEastAsia" w:hAnsiTheme="minorEastAsia" w:eastAsiaTheme="minorEastAsia" w:cstheme="minorEastAsia"/>
          <w:sz w:val="21"/>
          <w:szCs w:val="16"/>
          <w:highlight w:val="none"/>
        </w:rPr>
        <w:t>000元的违约金，其他监理人员每人每次处予人民币</w:t>
      </w:r>
      <w:r>
        <w:rPr>
          <w:rFonts w:hint="eastAsia" w:asciiTheme="minorEastAsia" w:hAnsiTheme="minorEastAsia" w:eastAsiaTheme="minorEastAsia" w:cstheme="minorEastAsia"/>
          <w:sz w:val="21"/>
          <w:szCs w:val="16"/>
          <w:highlight w:val="none"/>
          <w:lang w:val="en-US" w:eastAsia="zh-CN"/>
        </w:rPr>
        <w:t>5</w:t>
      </w:r>
      <w:r>
        <w:rPr>
          <w:rFonts w:hint="eastAsia" w:asciiTheme="minorEastAsia" w:hAnsiTheme="minorEastAsia" w:eastAsiaTheme="minorEastAsia" w:cstheme="minorEastAsia"/>
          <w:sz w:val="21"/>
          <w:szCs w:val="16"/>
          <w:highlight w:val="none"/>
        </w:rPr>
        <w:t>00元的违约金。情节严重的，甲方有权单方要求更换相关监理人员。</w:t>
      </w:r>
    </w:p>
    <w:p w14:paraId="6AA7674C">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.8监理过程中，监理人员不得使用施工单位的交通工具、办公住宿及伙食设施。监理单位负责提供自有监理人员独立的办公用房、食宿等条件</w:t>
      </w:r>
      <w:r>
        <w:rPr>
          <w:rFonts w:hint="eastAsia" w:asciiTheme="minorEastAsia" w:hAnsiTheme="minorEastAsia" w:eastAsiaTheme="minorEastAsia" w:cstheme="minorEastAsia"/>
          <w:strike w:val="0"/>
          <w:dstrike w:val="0"/>
          <w:color w:val="auto"/>
          <w:sz w:val="21"/>
          <w:szCs w:val="16"/>
          <w:highlight w:val="none"/>
          <w:u w:val="none"/>
          <w:shd w:val="clear" w:fill="auto"/>
        </w:rPr>
        <w:t>,</w:t>
      </w:r>
      <w:r>
        <w:rPr>
          <w:rFonts w:hint="eastAsia" w:asciiTheme="minorEastAsia" w:hAnsiTheme="minorEastAsia" w:eastAsiaTheme="minorEastAsia" w:cstheme="minorEastAsia"/>
          <w:sz w:val="21"/>
          <w:szCs w:val="16"/>
          <w:highlight w:val="none"/>
        </w:rPr>
        <w:t>所产生的费用已包含在投标报价中，由监理人综合考虑报价。一旦发包人巡检、不定期检查时发现有如上情况，第一次警告，第二次处予人民币</w:t>
      </w:r>
      <w:r>
        <w:rPr>
          <w:rFonts w:hint="eastAsia" w:asciiTheme="minorEastAsia" w:hAnsiTheme="minorEastAsia" w:eastAsiaTheme="minorEastAsia" w:cstheme="minorEastAsia"/>
          <w:sz w:val="21"/>
          <w:szCs w:val="16"/>
          <w:highlight w:val="none"/>
          <w:lang w:val="en-US" w:eastAsia="zh-CN"/>
        </w:rPr>
        <w:t>2</w:t>
      </w:r>
      <w:r>
        <w:rPr>
          <w:rFonts w:hint="eastAsia" w:asciiTheme="minorEastAsia" w:hAnsiTheme="minorEastAsia" w:eastAsiaTheme="minorEastAsia" w:cstheme="minorEastAsia"/>
          <w:sz w:val="21"/>
          <w:szCs w:val="16"/>
          <w:highlight w:val="none"/>
        </w:rPr>
        <w:t>000元的违约金，第三次解除合同，并将该不良行为上报建设主管部门。</w:t>
      </w:r>
    </w:p>
    <w:p w14:paraId="059F5630">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.9监理过程中，监理人根据施工合同对中标人购买的材料、设备是否符合设计和规范要求</w:t>
      </w:r>
      <w:r>
        <w:rPr>
          <w:rFonts w:hint="eastAsia" w:asciiTheme="minorEastAsia" w:hAnsiTheme="minorEastAsia" w:eastAsiaTheme="minorEastAsia" w:cstheme="minorEastAsia"/>
          <w:strike w:val="0"/>
          <w:dstrike w:val="0"/>
          <w:color w:val="auto"/>
          <w:sz w:val="21"/>
          <w:szCs w:val="16"/>
          <w:highlight w:val="none"/>
          <w:u w:val="none"/>
          <w:shd w:val="clear" w:fill="auto"/>
        </w:rPr>
        <w:t>，</w:t>
      </w:r>
      <w:r>
        <w:rPr>
          <w:rFonts w:hint="eastAsia" w:asciiTheme="minorEastAsia" w:hAnsiTheme="minorEastAsia" w:eastAsiaTheme="minorEastAsia" w:cstheme="minorEastAsia"/>
          <w:sz w:val="21"/>
          <w:szCs w:val="16"/>
          <w:highlight w:val="none"/>
        </w:rPr>
        <w:t>是否向招标人提供厂家批号、出厂合格证、质量检验书等资料证明进行检验；在采购供应前，监理必须监督中标人</w:t>
      </w:r>
      <w:r>
        <w:rPr>
          <w:rFonts w:hint="eastAsia" w:asciiTheme="minorEastAsia" w:hAnsiTheme="minorEastAsia" w:eastAsiaTheme="minorEastAsia" w:cstheme="minorEastAsia"/>
          <w:strike w:val="0"/>
          <w:dstrike w:val="0"/>
          <w:color w:val="auto"/>
          <w:sz w:val="21"/>
          <w:szCs w:val="16"/>
          <w:highlight w:val="none"/>
          <w:u w:val="none"/>
          <w:shd w:val="clear" w:fill="auto"/>
        </w:rPr>
        <w:t>须</w:t>
      </w:r>
      <w:r>
        <w:rPr>
          <w:rFonts w:hint="eastAsia" w:asciiTheme="minorEastAsia" w:hAnsiTheme="minorEastAsia" w:eastAsiaTheme="minorEastAsia" w:cstheme="minorEastAsia"/>
          <w:sz w:val="21"/>
          <w:szCs w:val="16"/>
          <w:highlight w:val="none"/>
        </w:rPr>
        <w:t>向招标人进行材料设备采购合同的备案</w:t>
      </w:r>
      <w:r>
        <w:rPr>
          <w:rFonts w:hint="eastAsia" w:asciiTheme="minorEastAsia" w:hAnsiTheme="minorEastAsia" w:eastAsiaTheme="minorEastAsia" w:cstheme="minorEastAsia"/>
          <w:strike w:val="0"/>
          <w:dstrike w:val="0"/>
          <w:color w:val="auto"/>
          <w:sz w:val="21"/>
          <w:szCs w:val="16"/>
          <w:highlight w:val="none"/>
          <w:u w:val="none"/>
          <w:shd w:val="clear" w:fill="auto"/>
        </w:rPr>
        <w:t>并</w:t>
      </w:r>
      <w:r>
        <w:rPr>
          <w:rFonts w:hint="eastAsia" w:asciiTheme="minorEastAsia" w:hAnsiTheme="minorEastAsia" w:eastAsiaTheme="minorEastAsia" w:cstheme="minorEastAsia"/>
          <w:sz w:val="21"/>
          <w:szCs w:val="16"/>
          <w:highlight w:val="none"/>
        </w:rPr>
        <w:t>经批准后方可实施采购</w:t>
      </w:r>
      <w:r>
        <w:rPr>
          <w:rFonts w:hint="eastAsia" w:asciiTheme="minorEastAsia" w:hAnsiTheme="minorEastAsia" w:eastAsiaTheme="minorEastAsia" w:cstheme="minorEastAsia"/>
          <w:strike w:val="0"/>
          <w:dstrike w:val="0"/>
          <w:color w:val="auto"/>
          <w:sz w:val="21"/>
          <w:szCs w:val="16"/>
          <w:highlight w:val="none"/>
          <w:u w:val="none"/>
          <w:shd w:val="clear" w:fill="auto"/>
        </w:rPr>
        <w:t>，监理人</w:t>
      </w:r>
      <w:r>
        <w:rPr>
          <w:rFonts w:hint="eastAsia" w:asciiTheme="minorEastAsia" w:hAnsiTheme="minorEastAsia" w:eastAsiaTheme="minorEastAsia" w:cstheme="minorEastAsia"/>
          <w:sz w:val="21"/>
          <w:szCs w:val="16"/>
          <w:highlight w:val="none"/>
        </w:rPr>
        <w:t>，招标人可随时对中标人所购买的材料及设备进行监督、检查。如监理人不能做到以上要求导致中标人提供的材料不符合规范要求或材料资料证明不全，招标人将对监理人处予每批次材料设备采购金额的千分之二或2000元违约金(二者取其高者)。</w:t>
      </w:r>
    </w:p>
    <w:p w14:paraId="11F9CBFC">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10施工过程中如果施工单位出现组织措施不当，计划不落实、管理不严，节点工期不能及时落实，施工方案中所列人员、机械设备与现场实际不符及建造师不到位等情况，监理单位未及时发出书面通知，导致工程工期延误的，招标人将根据延误工期对监理单位处予1000元/天的违约金。</w:t>
      </w:r>
    </w:p>
    <w:p w14:paraId="27D87325">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.11监理工程中的任一部分或分项工程，施工单位自检合格，经监理单位预验收合格后，如果经招标人验收不合格的，施工单位每整改一次，招标人对监理单位处予5000元的违约金。</w:t>
      </w:r>
    </w:p>
    <w:p w14:paraId="10388ED6">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.12未能在开工前将监理规划和监理实施细则报送委托人的，每延误一天处予违约金500元。</w:t>
      </w:r>
    </w:p>
    <w:p w14:paraId="33E78FEA">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.13未能在相应工程项目开工前组织施工图纸会审或审查承包单位报送的施工组织设计(方案)的，处予违约金500元。</w:t>
      </w:r>
    </w:p>
    <w:p w14:paraId="0FE69ABE">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.14未能督促承包人履行文明施工责任的，每次处予违约金300元。</w:t>
      </w:r>
    </w:p>
    <w:p w14:paraId="4A568B19">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.15对隐蔽工程的隐蔽过程、下道工序施工完成后难以检查的重点部位，按规定需进行旁站不进行旁站监理的，每次处予违约金1000元。</w:t>
      </w:r>
    </w:p>
    <w:p w14:paraId="699F14CE">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16监理人对本项目的质量、进度、安全、成本负责，对审核工程变更及签证的真实性、必要性和准确性负责，对工程计量、现场签证、工程进度款支付出现较大错误的，单项审核误差超过5%的，每次处予违约金3000元。</w:t>
      </w:r>
    </w:p>
    <w:p w14:paraId="631E8763">
      <w:pPr>
        <w:adjustRightInd w:val="0"/>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.17利用监理职权谋取任何不正当利益，包括无偿使用承包人提供的工作、生活、娱乐设施等，每发现一次处予违约金1000元。</w:t>
      </w:r>
    </w:p>
    <w:p w14:paraId="5414CDB5">
      <w:pPr>
        <w:snapToGrid w:val="0"/>
        <w:spacing w:line="360" w:lineRule="auto"/>
        <w:ind w:firstLine="420" w:firstLineChars="200"/>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lang w:val="en-US" w:eastAsia="zh-CN"/>
        </w:rPr>
        <w:t>7</w:t>
      </w:r>
      <w:r>
        <w:rPr>
          <w:rFonts w:hint="eastAsia" w:asciiTheme="minorEastAsia" w:hAnsiTheme="minorEastAsia" w:eastAsiaTheme="minorEastAsia" w:cstheme="minorEastAsia"/>
          <w:sz w:val="21"/>
          <w:szCs w:val="16"/>
          <w:highlight w:val="none"/>
        </w:rPr>
        <w:t>.18监理人应该遵守建设单位及其相应主管部门有关建设方面的相关管理制度。</w:t>
      </w:r>
    </w:p>
    <w:p w14:paraId="129AA3D5">
      <w:pPr>
        <w:rPr>
          <w:rFonts w:hint="eastAsia" w:asciiTheme="minorEastAsia" w:hAnsiTheme="minorEastAsia" w:eastAsiaTheme="minorEastAsia" w:cstheme="minorEastAsia"/>
          <w:kern w:val="0"/>
          <w:sz w:val="18"/>
          <w:szCs w:val="21"/>
          <w:highlight w:val="none"/>
        </w:rPr>
      </w:pPr>
      <w:r>
        <w:rPr>
          <w:rFonts w:hint="eastAsia" w:asciiTheme="minorEastAsia" w:hAnsiTheme="minorEastAsia" w:eastAsiaTheme="minorEastAsia" w:cstheme="minorEastAsia"/>
          <w:sz w:val="21"/>
          <w:szCs w:val="16"/>
          <w:highlight w:val="none"/>
        </w:rPr>
        <w:br w:type="page"/>
      </w:r>
    </w:p>
    <w:p w14:paraId="10ADA6BE">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附件</w:t>
      </w:r>
      <w:r>
        <w:rPr>
          <w:rFonts w:hint="eastAsia" w:asciiTheme="minorEastAsia" w:hAnsiTheme="minorEastAsia" w:eastAsiaTheme="minorEastAsia" w:cstheme="minorEastAsia"/>
          <w:sz w:val="21"/>
          <w:szCs w:val="16"/>
          <w:highlight w:val="none"/>
          <w:lang w:val="en-US" w:eastAsia="zh-CN"/>
        </w:rPr>
        <w:t>一</w:t>
      </w:r>
      <w:r>
        <w:rPr>
          <w:rFonts w:hint="eastAsia" w:asciiTheme="minorEastAsia" w:hAnsiTheme="minorEastAsia" w:eastAsiaTheme="minorEastAsia" w:cstheme="minorEastAsia"/>
          <w:sz w:val="21"/>
          <w:szCs w:val="16"/>
          <w:highlight w:val="none"/>
        </w:rPr>
        <w:t xml:space="preserve">     </w:t>
      </w:r>
    </w:p>
    <w:p w14:paraId="5351CE7D">
      <w:pPr>
        <w:widowControl/>
        <w:adjustRightInd w:val="0"/>
        <w:snapToGrid w:val="0"/>
        <w:spacing w:line="360" w:lineRule="auto"/>
        <w:ind w:firstLine="357" w:firstLineChars="170"/>
        <w:jc w:val="center"/>
        <w:outlineLvl w:val="1"/>
        <w:rPr>
          <w:rFonts w:hint="eastAsia" w:asciiTheme="minorEastAsia" w:hAnsiTheme="minorEastAsia" w:eastAsiaTheme="minorEastAsia" w:cstheme="minorEastAsia"/>
          <w:b/>
          <w:bCs/>
          <w:kern w:val="0"/>
          <w:sz w:val="21"/>
          <w:szCs w:val="16"/>
          <w:highlight w:val="none"/>
        </w:rPr>
      </w:pPr>
      <w:r>
        <w:rPr>
          <w:rFonts w:hint="eastAsia" w:asciiTheme="minorEastAsia" w:hAnsiTheme="minorEastAsia" w:eastAsiaTheme="minorEastAsia" w:cstheme="minorEastAsia"/>
          <w:b/>
          <w:bCs/>
          <w:kern w:val="0"/>
          <w:sz w:val="21"/>
          <w:szCs w:val="16"/>
          <w:highlight w:val="none"/>
        </w:rPr>
        <w:t>安全生产文明施工补充协议</w:t>
      </w:r>
    </w:p>
    <w:p w14:paraId="36460C52">
      <w:pPr>
        <w:spacing w:line="360" w:lineRule="auto"/>
        <w:ind w:left="210" w:leftChars="100" w:firstLine="57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为贯彻“安全第一，预防为主”的方针，根据《中华人民共和国安全生产法》、《广东省安全生产条例》等有关法律、法规的规定，结合本工程项目实际情况，</w:t>
      </w:r>
      <w:r>
        <w:rPr>
          <w:rFonts w:hint="eastAsia" w:asciiTheme="minorEastAsia" w:hAnsiTheme="minorEastAsia" w:eastAsiaTheme="minorEastAsia" w:cstheme="minorEastAsia"/>
          <w:strike w:val="0"/>
          <w:dstrike w:val="0"/>
          <w:color w:val="auto"/>
          <w:sz w:val="21"/>
          <w:szCs w:val="16"/>
          <w:highlight w:val="none"/>
          <w:u w:val="none"/>
          <w:shd w:val="clear" w:fill="auto"/>
        </w:rPr>
        <w:t>按规定</w:t>
      </w:r>
      <w:r>
        <w:rPr>
          <w:rFonts w:hint="eastAsia" w:asciiTheme="minorEastAsia" w:hAnsiTheme="minorEastAsia" w:eastAsiaTheme="minorEastAsia" w:cstheme="minorEastAsia"/>
          <w:sz w:val="21"/>
          <w:szCs w:val="16"/>
          <w:highlight w:val="none"/>
        </w:rPr>
        <w:t>签订如下协议。</w:t>
      </w:r>
    </w:p>
    <w:p w14:paraId="35F0878E">
      <w:pPr>
        <w:numPr>
          <w:ilvl w:val="0"/>
          <w:numId w:val="6"/>
        </w:num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委托人的权利与义务</w:t>
      </w:r>
    </w:p>
    <w:p w14:paraId="634064AF">
      <w:pPr>
        <w:tabs>
          <w:tab w:val="left" w:pos="894"/>
        </w:tabs>
        <w:spacing w:line="360" w:lineRule="auto"/>
        <w:ind w:left="210" w:leftChars="100" w:firstLine="315" w:firstLineChars="15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1、遵守国家、省、市有关安全生产文明施工的法律、法规及有关规定，加强安全生产管理，建立、健全安全生产责任制度，完善安全生产条件，确保安全生产。</w:t>
      </w:r>
    </w:p>
    <w:p w14:paraId="37B99F37">
      <w:pPr>
        <w:tabs>
          <w:tab w:val="left" w:pos="894"/>
        </w:tabs>
        <w:spacing w:line="360" w:lineRule="auto"/>
        <w:ind w:left="210" w:leftChars="100" w:firstLine="315" w:firstLineChars="15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2、按国家有关规定保证安全生产所必需的资金投入。</w:t>
      </w:r>
    </w:p>
    <w:p w14:paraId="7B2589FE">
      <w:pPr>
        <w:tabs>
          <w:tab w:val="left" w:pos="894"/>
        </w:tabs>
        <w:spacing w:line="360" w:lineRule="auto"/>
        <w:ind w:left="210" w:leftChars="100" w:firstLine="315" w:firstLineChars="15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3、保证不将工程项目发包（分包）给不具备安全生产条件或者不具备相应资质的单位或个人。</w:t>
      </w:r>
    </w:p>
    <w:p w14:paraId="6A219E99">
      <w:pPr>
        <w:tabs>
          <w:tab w:val="left" w:pos="894"/>
        </w:tabs>
        <w:spacing w:line="360" w:lineRule="auto"/>
        <w:ind w:left="210" w:leftChars="100" w:firstLine="315" w:firstLineChars="15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4、对监理人在监理过程中依照合同或依法采取的有效监控措施，如停工、停用等给予支持；对监理人以公司文件书面形式提交并要求做出决定的事宜在规定时限内做出书面决定。</w:t>
      </w:r>
    </w:p>
    <w:p w14:paraId="6AA011A6">
      <w:pPr>
        <w:tabs>
          <w:tab w:val="left" w:pos="894"/>
        </w:tabs>
        <w:spacing w:line="360" w:lineRule="auto"/>
        <w:ind w:left="210" w:leftChars="100" w:firstLine="315" w:firstLineChars="15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5、授权工地常驻代表负责与监理人联系安全生产、文明施工的事宜，如需更换此人时提前通知监理人。</w:t>
      </w:r>
    </w:p>
    <w:p w14:paraId="1744D102">
      <w:pPr>
        <w:numPr>
          <w:ilvl w:val="0"/>
          <w:numId w:val="6"/>
        </w:num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监理人的权利与义务</w:t>
      </w:r>
    </w:p>
    <w:p w14:paraId="34867921">
      <w:pPr>
        <w:tabs>
          <w:tab w:val="left" w:pos="894"/>
        </w:tabs>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1、遵守国家、省、市有关安全生产文明施工的法律、法规及有关规定，加强工程建设安全的监理，建立、健全安全监理责任制度，保证工程建设的安全。建立、健全安全生产文明施工监理的组织</w:t>
      </w:r>
      <w:r>
        <w:rPr>
          <w:rFonts w:hint="eastAsia" w:asciiTheme="minorEastAsia" w:hAnsiTheme="minorEastAsia" w:eastAsiaTheme="minorEastAsia" w:cstheme="minorEastAsia"/>
          <w:strike w:val="0"/>
          <w:dstrike w:val="0"/>
          <w:color w:val="auto"/>
          <w:sz w:val="21"/>
          <w:szCs w:val="16"/>
          <w:highlight w:val="none"/>
          <w:u w:val="none"/>
          <w:shd w:val="clear" w:fill="auto"/>
        </w:rPr>
        <w:t>、</w:t>
      </w:r>
      <w:r>
        <w:rPr>
          <w:rFonts w:hint="eastAsia" w:asciiTheme="minorEastAsia" w:hAnsiTheme="minorEastAsia" w:eastAsiaTheme="minorEastAsia" w:cstheme="minorEastAsia"/>
          <w:sz w:val="21"/>
          <w:szCs w:val="16"/>
          <w:highlight w:val="none"/>
        </w:rPr>
        <w:t>明确安全监理人员的职责。</w:t>
      </w:r>
    </w:p>
    <w:p w14:paraId="318A57EE">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2、建立安全生产文明施工的专项监理制度或方案。</w:t>
      </w:r>
    </w:p>
    <w:p w14:paraId="57B7D7FA">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3、对施工单位的资质进行审查，</w:t>
      </w:r>
      <w:r>
        <w:rPr>
          <w:rFonts w:hint="eastAsia" w:asciiTheme="minorEastAsia" w:hAnsiTheme="minorEastAsia" w:eastAsiaTheme="minorEastAsia" w:cstheme="minorEastAsia"/>
          <w:strike w:val="0"/>
          <w:dstrike w:val="0"/>
          <w:color w:val="auto"/>
          <w:sz w:val="21"/>
          <w:szCs w:val="16"/>
          <w:highlight w:val="none"/>
          <w:u w:val="none"/>
          <w:shd w:val="clear" w:fill="auto"/>
        </w:rPr>
        <w:t>对</w:t>
      </w:r>
      <w:r>
        <w:rPr>
          <w:rFonts w:hint="eastAsia" w:asciiTheme="minorEastAsia" w:hAnsiTheme="minorEastAsia" w:eastAsiaTheme="minorEastAsia" w:cstheme="minorEastAsia"/>
          <w:sz w:val="21"/>
          <w:szCs w:val="16"/>
          <w:highlight w:val="none"/>
        </w:rPr>
        <w:t>无资质单位</w:t>
      </w:r>
      <w:r>
        <w:rPr>
          <w:rFonts w:hint="eastAsia" w:asciiTheme="minorEastAsia" w:hAnsiTheme="minorEastAsia" w:eastAsiaTheme="minorEastAsia" w:cstheme="minorEastAsia"/>
          <w:strike w:val="0"/>
          <w:dstrike w:val="0"/>
          <w:color w:val="auto"/>
          <w:sz w:val="21"/>
          <w:szCs w:val="16"/>
          <w:highlight w:val="none"/>
          <w:u w:val="none"/>
          <w:shd w:val="clear" w:fill="auto"/>
        </w:rPr>
        <w:t>会同委托人不准</w:t>
      </w:r>
      <w:r>
        <w:rPr>
          <w:rFonts w:hint="eastAsia" w:asciiTheme="minorEastAsia" w:hAnsiTheme="minorEastAsia" w:eastAsiaTheme="minorEastAsia" w:cstheme="minorEastAsia"/>
          <w:sz w:val="21"/>
          <w:szCs w:val="16"/>
          <w:highlight w:val="none"/>
        </w:rPr>
        <w:t>进入。</w:t>
      </w:r>
    </w:p>
    <w:p w14:paraId="44D1D465">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4、对施工单位提供的安全施工组织设计及专项安全技术方案进行审核。</w:t>
      </w:r>
    </w:p>
    <w:p w14:paraId="126B23BF">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5、对施工人员、材料、主要设备的使用和运行状况进行检查并记录。</w:t>
      </w:r>
    </w:p>
    <w:p w14:paraId="47C88AE6">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6、对重要施工环节和安全事故易发工序实施旁站或巡检。</w:t>
      </w:r>
    </w:p>
    <w:p w14:paraId="4B9D2B41">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7、按规定对安全措施费用的列支和使用实施有效监控。</w:t>
      </w:r>
    </w:p>
    <w:p w14:paraId="381E849D">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8、及时制止施工单位明显违章指挥和操作的行为。</w:t>
      </w:r>
    </w:p>
    <w:p w14:paraId="442058E0">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9、对危及工程和人员安全的施工及设备的使用，及时下达停工（停用）指令，坚决予以纠正。</w:t>
      </w:r>
    </w:p>
    <w:p w14:paraId="420DA653">
      <w:pPr>
        <w:tabs>
          <w:tab w:val="left" w:pos="720"/>
        </w:tabs>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10、对施工现场存在的安全隐患及时发出整改通知</w:t>
      </w:r>
      <w:r>
        <w:rPr>
          <w:rFonts w:hint="eastAsia" w:asciiTheme="minorEastAsia" w:hAnsiTheme="minorEastAsia" w:eastAsiaTheme="minorEastAsia" w:cstheme="minorEastAsia"/>
          <w:strike w:val="0"/>
          <w:dstrike w:val="0"/>
          <w:color w:val="auto"/>
          <w:sz w:val="21"/>
          <w:szCs w:val="16"/>
          <w:highlight w:val="none"/>
          <w:u w:val="none"/>
          <w:shd w:val="clear" w:fill="auto"/>
        </w:rPr>
        <w:t>并</w:t>
      </w:r>
      <w:r>
        <w:rPr>
          <w:rFonts w:hint="eastAsia" w:asciiTheme="minorEastAsia" w:hAnsiTheme="minorEastAsia" w:eastAsiaTheme="minorEastAsia" w:cstheme="minorEastAsia"/>
          <w:sz w:val="21"/>
          <w:szCs w:val="16"/>
          <w:highlight w:val="none"/>
        </w:rPr>
        <w:t>向安监机构报告。</w:t>
      </w:r>
    </w:p>
    <w:p w14:paraId="4AF04A6B">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11、对因安全原因被建设行政主管部门和监督机构责令停工整改的，要积极主动抓好督促落实并及时反馈情况。</w:t>
      </w:r>
    </w:p>
    <w:p w14:paraId="3C6D463D">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12、督促施工单位按规定购买施工意外保险和搞好文明施工管理。</w:t>
      </w:r>
    </w:p>
    <w:p w14:paraId="11911E61">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13、参与安全事故的调查处理。</w:t>
      </w:r>
    </w:p>
    <w:p w14:paraId="474B7375">
      <w:pPr>
        <w:spacing w:line="360" w:lineRule="auto"/>
        <w:ind w:left="210" w:leftChars="100"/>
        <w:jc w:val="left"/>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14、参与事故应急救援预案的公布和演练。</w:t>
      </w:r>
    </w:p>
    <w:p w14:paraId="4F94A6EB">
      <w:pPr>
        <w:spacing w:line="360" w:lineRule="auto"/>
        <w:rPr>
          <w:rFonts w:hint="eastAsia" w:asciiTheme="minorEastAsia" w:hAnsiTheme="minorEastAsia" w:eastAsiaTheme="minorEastAsia" w:cstheme="minorEastAsia"/>
          <w:sz w:val="21"/>
          <w:szCs w:val="16"/>
          <w:highlight w:val="none"/>
        </w:rPr>
      </w:pPr>
      <w:r>
        <w:rPr>
          <w:rFonts w:hint="eastAsia" w:asciiTheme="minorEastAsia" w:hAnsiTheme="minorEastAsia" w:eastAsiaTheme="minorEastAsia" w:cstheme="minorEastAsia"/>
          <w:sz w:val="21"/>
          <w:szCs w:val="16"/>
          <w:highlight w:val="none"/>
        </w:rPr>
        <w:t xml:space="preserve">      15、督促承包单位及时整理现场安全管理文件资料。</w:t>
      </w:r>
    </w:p>
    <w:p w14:paraId="20FAC127">
      <w:pPr>
        <w:pStyle w:val="2"/>
        <w:rPr>
          <w:rFonts w:hint="eastAsia" w:asciiTheme="minorEastAsia" w:hAnsiTheme="minorEastAsia" w:eastAsiaTheme="minorEastAsia" w:cstheme="minorEastAsia"/>
          <w:sz w:val="18"/>
          <w:szCs w:val="16"/>
          <w:highlight w:val="none"/>
        </w:rPr>
      </w:pPr>
    </w:p>
    <w:p w14:paraId="654F43D8">
      <w:pPr>
        <w:pStyle w:val="3"/>
        <w:ind w:firstLine="240"/>
        <w:rPr>
          <w:rFonts w:hint="eastAsia" w:asciiTheme="minorEastAsia" w:hAnsiTheme="minorEastAsia" w:eastAsiaTheme="minorEastAsia" w:cstheme="minorEastAsia"/>
          <w:sz w:val="18"/>
          <w:szCs w:val="21"/>
          <w:highlight w:val="none"/>
        </w:rPr>
      </w:pPr>
    </w:p>
    <w:p w14:paraId="77A19491">
      <w:pPr>
        <w:rPr>
          <w:rFonts w:hint="eastAsia"/>
          <w:sz w:val="18"/>
          <w:szCs w:val="16"/>
          <w:highlight w:val="none"/>
        </w:rPr>
      </w:pPr>
      <w:r>
        <w:rPr>
          <w:rFonts w:hint="eastAsia"/>
          <w:sz w:val="18"/>
          <w:szCs w:val="16"/>
          <w:highlight w:val="none"/>
        </w:rPr>
        <w:br w:type="page"/>
      </w:r>
    </w:p>
    <w:p w14:paraId="3A3F93E4">
      <w:pPr>
        <w:spacing w:after="62" w:line="480" w:lineRule="exact"/>
        <w:rPr>
          <w:rFonts w:hint="eastAsia" w:ascii="仿宋" w:hAnsi="仿宋" w:eastAsia="仿宋" w:cs="仿宋"/>
          <w:sz w:val="24"/>
          <w:highlight w:val="none"/>
        </w:rPr>
      </w:pPr>
      <w:r>
        <w:rPr>
          <w:rFonts w:hint="eastAsia" w:ascii="仿宋" w:hAnsi="仿宋" w:eastAsia="仿宋" w:cs="仿宋"/>
          <w:sz w:val="24"/>
          <w:szCs w:val="24"/>
          <w:highlight w:val="none"/>
        </w:rPr>
        <w:t>附件2</w:t>
      </w:r>
    </w:p>
    <w:p w14:paraId="45ABEAF3">
      <w:pPr>
        <w:spacing w:line="580" w:lineRule="exact"/>
        <w:ind w:firstLine="720" w:firstLineChars="200"/>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东莞科技创新</w:t>
      </w:r>
      <w:r>
        <w:rPr>
          <w:rFonts w:hint="eastAsia" w:ascii="黑体" w:hAnsi="黑体" w:eastAsia="黑体" w:cs="黑体"/>
          <w:color w:val="auto"/>
          <w:sz w:val="36"/>
          <w:szCs w:val="36"/>
          <w:highlight w:val="none"/>
          <w:lang w:val="en-US" w:eastAsia="zh-CN"/>
        </w:rPr>
        <w:t>投资</w:t>
      </w:r>
      <w:r>
        <w:rPr>
          <w:rFonts w:hint="eastAsia" w:ascii="黑体" w:hAnsi="黑体" w:eastAsia="黑体" w:cs="黑体"/>
          <w:color w:val="auto"/>
          <w:sz w:val="36"/>
          <w:szCs w:val="36"/>
          <w:highlight w:val="none"/>
        </w:rPr>
        <w:t>集团</w:t>
      </w:r>
    </w:p>
    <w:p w14:paraId="2B48FE2E">
      <w:pPr>
        <w:spacing w:line="580" w:lineRule="exact"/>
        <w:ind w:firstLine="720" w:firstLineChars="200"/>
        <w:jc w:val="center"/>
        <w:rPr>
          <w:rFonts w:hint="eastAsia" w:ascii="黑体" w:hAnsi="黑体" w:eastAsia="黑体" w:cs="黑体"/>
          <w:bCs/>
          <w:color w:val="auto"/>
          <w:sz w:val="36"/>
          <w:szCs w:val="36"/>
          <w:highlight w:val="none"/>
        </w:rPr>
      </w:pPr>
      <w:r>
        <w:rPr>
          <w:rFonts w:hint="eastAsia" w:ascii="黑体" w:hAnsi="黑体" w:eastAsia="黑体" w:cs="黑体"/>
          <w:bCs/>
          <w:color w:val="auto"/>
          <w:sz w:val="36"/>
          <w:szCs w:val="36"/>
          <w:highlight w:val="none"/>
        </w:rPr>
        <w:t>阳光合作告知函</w:t>
      </w:r>
    </w:p>
    <w:p w14:paraId="714BA09C">
      <w:pPr>
        <w:pStyle w:val="56"/>
        <w:wordWrap w:val="0"/>
        <w:snapToGrid w:val="0"/>
        <w:ind w:firstLine="480" w:firstLineChars="200"/>
        <w:jc w:val="right"/>
        <w:rPr>
          <w:rFonts w:hint="default" w:ascii="仿宋_GB2312" w:hAnsi="Times New Roman" w:eastAsia="仿宋_GB2312" w:cs="宋体"/>
          <w:bCs w:val="0"/>
          <w:color w:val="auto"/>
          <w:sz w:val="24"/>
          <w:szCs w:val="24"/>
          <w:highlight w:val="none"/>
        </w:rPr>
      </w:pPr>
      <w:r>
        <w:rPr>
          <w:rFonts w:hint="eastAsia" w:ascii="仿宋_GB2312" w:hAnsi="Times New Roman" w:eastAsia="仿宋_GB2312" w:cs="宋体"/>
          <w:color w:val="auto"/>
          <w:sz w:val="24"/>
          <w:szCs w:val="24"/>
          <w:highlight w:val="none"/>
        </w:rPr>
        <w:t>编号：</w:t>
      </w:r>
      <w:r>
        <w:rPr>
          <w:rFonts w:hint="eastAsia" w:ascii="仿宋_GB2312" w:hAnsi="Times New Roman" w:eastAsia="仿宋_GB2312" w:cs="宋体"/>
          <w:color w:val="auto"/>
          <w:sz w:val="24"/>
          <w:szCs w:val="24"/>
          <w:highlight w:val="none"/>
          <w:lang w:val="en-US" w:eastAsia="zh-CN"/>
        </w:rPr>
        <w:t xml:space="preserve">           </w:t>
      </w:r>
    </w:p>
    <w:p w14:paraId="0F99F6EE">
      <w:pPr>
        <w:pStyle w:val="56"/>
        <w:snapToGrid w:val="0"/>
        <w:spacing w:line="580" w:lineRule="exact"/>
        <w:ind w:firstLine="0"/>
        <w:rPr>
          <w:rFonts w:ascii="仿宋_GB2312" w:hAnsi="Times New Roman" w:eastAsia="仿宋_GB2312"/>
          <w:color w:val="auto"/>
          <w:sz w:val="24"/>
          <w:szCs w:val="24"/>
          <w:highlight w:val="none"/>
          <w:u w:val="single"/>
        </w:rPr>
      </w:pPr>
      <w:r>
        <w:rPr>
          <w:rFonts w:hint="eastAsia" w:ascii="仿宋_GB2312" w:hAnsi="Times New Roman" w:eastAsia="仿宋_GB2312"/>
          <w:color w:val="auto"/>
          <w:sz w:val="28"/>
          <w:szCs w:val="28"/>
          <w:highlight w:val="none"/>
        </w:rPr>
        <w:t xml:space="preserve"> </w:t>
      </w:r>
      <w:r>
        <w:rPr>
          <w:rFonts w:hint="eastAsia" w:ascii="仿宋_GB2312" w:hAnsi="Times New Roman" w:eastAsia="仿宋_GB2312"/>
          <w:color w:val="auto"/>
          <w:sz w:val="28"/>
          <w:szCs w:val="28"/>
          <w:highlight w:val="none"/>
          <w:u w:val="single"/>
        </w:rPr>
        <w:t xml:space="preserve"> </w:t>
      </w:r>
      <w:r>
        <w:rPr>
          <w:rFonts w:hint="eastAsia" w:ascii="仿宋_GB2312" w:hAnsi="Times New Roman" w:eastAsia="仿宋_GB2312"/>
          <w:color w:val="auto"/>
          <w:sz w:val="24"/>
          <w:szCs w:val="24"/>
          <w:highlight w:val="none"/>
          <w:u w:val="single"/>
          <w:lang w:val="en-US" w:eastAsia="zh-CN"/>
        </w:rPr>
        <w:t xml:space="preserve">         </w:t>
      </w:r>
      <w:r>
        <w:rPr>
          <w:rFonts w:hint="eastAsia" w:ascii="仿宋_GB2312" w:hAnsi="Times New Roman" w:eastAsia="仿宋_GB2312"/>
          <w:color w:val="auto"/>
          <w:sz w:val="24"/>
          <w:szCs w:val="24"/>
          <w:highlight w:val="none"/>
          <w:u w:val="single"/>
        </w:rPr>
        <w:t xml:space="preserve"> </w:t>
      </w:r>
      <w:r>
        <w:rPr>
          <w:rFonts w:hint="eastAsia" w:ascii="仿宋_GB2312" w:hAnsi="Times New Roman" w:eastAsia="仿宋_GB2312"/>
          <w:color w:val="auto"/>
          <w:sz w:val="24"/>
          <w:szCs w:val="24"/>
          <w:highlight w:val="none"/>
        </w:rPr>
        <w:t xml:space="preserve">：                          </w:t>
      </w:r>
    </w:p>
    <w:p w14:paraId="7C499A62">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为保证</w:t>
      </w:r>
      <w:r>
        <w:rPr>
          <w:rFonts w:hint="eastAsia" w:ascii="仿宋_GB2312" w:hAnsi="Times New Roman" w:eastAsia="仿宋_GB2312"/>
          <w:color w:val="auto"/>
          <w:sz w:val="24"/>
          <w:szCs w:val="24"/>
          <w:highlight w:val="none"/>
          <w:u w:val="single"/>
        </w:rPr>
        <w:t xml:space="preserve">  东莞市大学创新城建设发展有限公司  </w:t>
      </w:r>
      <w:r>
        <w:rPr>
          <w:rFonts w:hint="eastAsia" w:ascii="仿宋_GB2312" w:hAnsi="Times New Roman" w:eastAsia="仿宋_GB2312"/>
          <w:color w:val="auto"/>
          <w:sz w:val="24"/>
          <w:szCs w:val="24"/>
          <w:highlight w:val="none"/>
        </w:rPr>
        <w:t>人员廉洁从业，规范和鼓励诚信交易行为，防止腐败和商业贿赂发生，推动双方建立阳光合作关系，现将我方推行阳光合作的相关管理规定函告如下：</w:t>
      </w:r>
    </w:p>
    <w:p w14:paraId="4E3A85B3">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一、我方负责对本单位有关人员进行阳光合作教育和管理。</w:t>
      </w:r>
    </w:p>
    <w:p w14:paraId="68DD0C5C">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二、我方人员有责任向贵方介绍本单位有关阳光合作的相关规定。</w:t>
      </w:r>
    </w:p>
    <w:p w14:paraId="05EB976E">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三、我方人员应本着诚实守信、公平公开、平等互利原则开展交易合作，遵守国家相关法律法规。</w:t>
      </w:r>
    </w:p>
    <w:p w14:paraId="32FD81CF">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四、我方人员应廉洁从业，自觉抵制商业贿赂及不正当交易行为，在交易业务中涉及本人、亲属或其他相关人员时，应主动提请回避。</w:t>
      </w:r>
    </w:p>
    <w:p w14:paraId="69062320">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五、在业务合作过程中，我方人员不得有以下违法违规行为：</w:t>
      </w:r>
    </w:p>
    <w:p w14:paraId="1F63EC3A">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 xml:space="preserve">（一）合作过程中通过各种方式向贵方索贿、行贿，或为亲属、其他相关人员索取其他协助或服务； </w:t>
      </w:r>
    </w:p>
    <w:p w14:paraId="3F6E30AD">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29AA7B82">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 xml:space="preserve">（三）擅自截留、挪用或侵占贵方财物； </w:t>
      </w:r>
    </w:p>
    <w:p w14:paraId="5A6956ED">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 xml:space="preserve">（四）以各种形式参与民间借贷，帮助贵方过桥借贷； </w:t>
      </w:r>
    </w:p>
    <w:p w14:paraId="63F21A78">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（五）参与黄、赌、毒等违法犯罪活动；</w:t>
      </w:r>
    </w:p>
    <w:p w14:paraId="4E27A1E7">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（六）其他违反国家法律法规和</w:t>
      </w:r>
      <w:r>
        <w:rPr>
          <w:rFonts w:hint="eastAsia" w:ascii="仿宋_GB2312" w:hAnsi="Times New Roman" w:eastAsia="仿宋_GB2312"/>
          <w:strike w:val="0"/>
          <w:dstrike w:val="0"/>
          <w:color w:val="auto"/>
          <w:sz w:val="24"/>
          <w:szCs w:val="24"/>
          <w:highlight w:val="none"/>
          <w:u w:val="none"/>
          <w:shd w:val="clear" w:fill="auto"/>
        </w:rPr>
        <w:t>违反</w:t>
      </w:r>
      <w:r>
        <w:rPr>
          <w:rFonts w:hint="eastAsia" w:ascii="仿宋_GB2312" w:hAnsi="Times New Roman" w:eastAsia="仿宋_GB2312"/>
          <w:color w:val="auto"/>
          <w:sz w:val="24"/>
          <w:szCs w:val="24"/>
          <w:highlight w:val="none"/>
        </w:rPr>
        <w:t xml:space="preserve">廉洁从业的行为。 </w:t>
      </w:r>
    </w:p>
    <w:p w14:paraId="6FB16B0C">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76CB4500">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1926AE17">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八、贵方投诉举报的情况，经查证属实，我方将视情节轻重和影响恶劣程度对相关人员进行内部处理，构成犯罪的，依法移送司法机关处置，并将调查结果及时向贵方反馈。</w:t>
      </w:r>
    </w:p>
    <w:p w14:paraId="62C6796E">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九、如贵方经办人员或其他相关人员主动诱使我方人员作出本告知函第五点列明的违法违规行为的，我方有权终止双方的合作，由此造成的损失由贵方承担。</w:t>
      </w:r>
    </w:p>
    <w:p w14:paraId="5DF65320">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十、我方对如实举报和严格遵守阳光合作精神的合作方，在同等条件下给予后续合作的优先权。</w:t>
      </w:r>
    </w:p>
    <w:p w14:paraId="1C96E4BF">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十一、其他</w:t>
      </w:r>
    </w:p>
    <w:p w14:paraId="505579BF">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（一）本告知函所言“其他相关人员”是指经办人以外的与合作项目有直接或间接利益关系的人员，包括但不仅限于项目经办人的亲友。</w:t>
      </w:r>
    </w:p>
    <w:p w14:paraId="65F0CB0B">
      <w:pPr>
        <w:pStyle w:val="56"/>
        <w:snapToGrid w:val="0"/>
        <w:spacing w:line="580" w:lineRule="exact"/>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 xml:space="preserve">（二）我方常设投诉举报受理部门及联系方式： </w:t>
      </w:r>
    </w:p>
    <w:p w14:paraId="0F0C621B">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b/>
          <w:bCs/>
          <w:color w:val="auto"/>
          <w:sz w:val="24"/>
          <w:szCs w:val="24"/>
          <w:highlight w:val="none"/>
        </w:rPr>
        <w:t>1</w:t>
      </w:r>
      <w:r>
        <w:rPr>
          <w:rFonts w:ascii="仿宋_GB2312" w:hAnsi="Times New Roman" w:eastAsia="仿宋_GB2312"/>
          <w:b/>
          <w:bCs/>
          <w:color w:val="auto"/>
          <w:sz w:val="24"/>
          <w:szCs w:val="24"/>
          <w:highlight w:val="none"/>
        </w:rPr>
        <w:t>.</w:t>
      </w:r>
      <w:r>
        <w:rPr>
          <w:rFonts w:hint="eastAsia" w:ascii="仿宋_GB2312" w:hAnsi="Times New Roman" w:eastAsia="仿宋_GB2312"/>
          <w:b/>
          <w:bCs/>
          <w:color w:val="auto"/>
          <w:sz w:val="24"/>
          <w:szCs w:val="24"/>
          <w:highlight w:val="none"/>
        </w:rPr>
        <w:t>投诉举报受理部门：</w:t>
      </w:r>
      <w:r>
        <w:rPr>
          <w:rFonts w:hint="eastAsia" w:ascii="仿宋_GB2312" w:hAnsi="Times New Roman" w:eastAsia="仿宋_GB2312"/>
          <w:color w:val="auto"/>
          <w:sz w:val="24"/>
          <w:szCs w:val="24"/>
          <w:highlight w:val="none"/>
        </w:rPr>
        <w:t>东莞科技创新</w:t>
      </w:r>
      <w:r>
        <w:rPr>
          <w:rFonts w:hint="eastAsia" w:ascii="仿宋_GB2312" w:hAnsi="Times New Roman" w:eastAsia="仿宋_GB2312"/>
          <w:color w:val="auto"/>
          <w:sz w:val="24"/>
          <w:szCs w:val="24"/>
          <w:highlight w:val="none"/>
          <w:lang w:val="en-US" w:eastAsia="zh-CN"/>
        </w:rPr>
        <w:t>投资</w:t>
      </w:r>
      <w:r>
        <w:rPr>
          <w:rFonts w:hint="eastAsia" w:ascii="仿宋_GB2312" w:hAnsi="Times New Roman" w:eastAsia="仿宋_GB2312"/>
          <w:color w:val="auto"/>
          <w:sz w:val="24"/>
          <w:szCs w:val="24"/>
          <w:highlight w:val="none"/>
        </w:rPr>
        <w:t>集团纪检监察部；</w:t>
      </w:r>
    </w:p>
    <w:p w14:paraId="64FF86AA">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b/>
          <w:bCs/>
          <w:color w:val="auto"/>
          <w:sz w:val="24"/>
          <w:szCs w:val="24"/>
          <w:highlight w:val="none"/>
        </w:rPr>
        <w:t>2</w:t>
      </w:r>
      <w:r>
        <w:rPr>
          <w:rFonts w:ascii="仿宋_GB2312" w:hAnsi="Times New Roman" w:eastAsia="仿宋_GB2312"/>
          <w:b/>
          <w:bCs/>
          <w:color w:val="auto"/>
          <w:sz w:val="24"/>
          <w:szCs w:val="24"/>
          <w:highlight w:val="none"/>
        </w:rPr>
        <w:t>.</w:t>
      </w:r>
      <w:r>
        <w:rPr>
          <w:rFonts w:hint="eastAsia" w:ascii="仿宋_GB2312" w:hAnsi="Times New Roman" w:eastAsia="仿宋_GB2312"/>
          <w:b/>
          <w:bCs/>
          <w:color w:val="auto"/>
          <w:sz w:val="24"/>
          <w:szCs w:val="24"/>
          <w:highlight w:val="none"/>
        </w:rPr>
        <w:t>投诉举报邮箱：</w:t>
      </w:r>
      <w:r>
        <w:rPr>
          <w:rFonts w:hint="eastAsia" w:ascii="仿宋_GB2312" w:hAnsi="Times New Roman" w:eastAsia="仿宋_GB2312"/>
          <w:color w:val="auto"/>
          <w:sz w:val="24"/>
          <w:szCs w:val="24"/>
          <w:highlight w:val="none"/>
        </w:rPr>
        <w:t>kcjw@dgkcjr.com ；</w:t>
      </w:r>
    </w:p>
    <w:p w14:paraId="5FECF35C">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b/>
          <w:bCs/>
          <w:color w:val="auto"/>
          <w:sz w:val="24"/>
          <w:szCs w:val="24"/>
          <w:highlight w:val="none"/>
        </w:rPr>
        <w:t>3</w:t>
      </w:r>
      <w:r>
        <w:rPr>
          <w:rFonts w:ascii="仿宋_GB2312" w:hAnsi="Times New Roman" w:eastAsia="仿宋_GB2312"/>
          <w:b/>
          <w:bCs/>
          <w:color w:val="auto"/>
          <w:sz w:val="24"/>
          <w:szCs w:val="24"/>
          <w:highlight w:val="none"/>
        </w:rPr>
        <w:t>.</w:t>
      </w:r>
      <w:r>
        <w:rPr>
          <w:rFonts w:hint="eastAsia" w:ascii="仿宋_GB2312" w:hAnsi="Times New Roman" w:eastAsia="仿宋_GB2312"/>
          <w:b/>
          <w:bCs/>
          <w:color w:val="auto"/>
          <w:sz w:val="24"/>
          <w:szCs w:val="24"/>
          <w:highlight w:val="none"/>
        </w:rPr>
        <w:t>投诉举报电话：</w:t>
      </w:r>
      <w:r>
        <w:rPr>
          <w:rFonts w:ascii="Times New Roman" w:hAnsi="Times New Roman" w:eastAsia="仿宋_GB2312"/>
          <w:color w:val="auto"/>
          <w:sz w:val="24"/>
          <w:szCs w:val="24"/>
          <w:highlight w:val="none"/>
        </w:rPr>
        <w:t>0769</w:t>
      </w:r>
      <w:r>
        <w:rPr>
          <w:rFonts w:ascii="Times New Roman" w:hAnsi="Times New Roman" w:eastAsia="微软雅黑"/>
          <w:color w:val="auto"/>
          <w:sz w:val="24"/>
          <w:szCs w:val="24"/>
          <w:highlight w:val="none"/>
        </w:rPr>
        <w:t>–22890369</w:t>
      </w:r>
      <w:r>
        <w:rPr>
          <w:rFonts w:hint="eastAsia" w:ascii="仿宋_GB2312" w:hAnsi="Times New Roman" w:eastAsia="仿宋_GB2312"/>
          <w:color w:val="auto"/>
          <w:sz w:val="24"/>
          <w:szCs w:val="24"/>
          <w:highlight w:val="none"/>
        </w:rPr>
        <w:t>（周一至周五</w:t>
      </w:r>
      <w:r>
        <w:rPr>
          <w:rFonts w:ascii="Times New Roman" w:hAnsi="Times New Roman" w:eastAsia="仿宋_GB2312"/>
          <w:color w:val="auto"/>
          <w:sz w:val="24"/>
          <w:szCs w:val="24"/>
          <w:highlight w:val="none"/>
        </w:rPr>
        <w:t>：9:00～17:30</w:t>
      </w:r>
      <w:r>
        <w:rPr>
          <w:rFonts w:hint="eastAsia" w:ascii="仿宋_GB2312" w:hAnsi="Times New Roman" w:eastAsia="仿宋_GB2312"/>
          <w:color w:val="auto"/>
          <w:sz w:val="24"/>
          <w:szCs w:val="24"/>
          <w:highlight w:val="none"/>
        </w:rPr>
        <w:t>）；</w:t>
      </w:r>
    </w:p>
    <w:p w14:paraId="621F4E88">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b/>
          <w:bCs/>
          <w:color w:val="auto"/>
          <w:sz w:val="24"/>
          <w:szCs w:val="24"/>
          <w:highlight w:val="none"/>
        </w:rPr>
        <w:t>4</w:t>
      </w:r>
      <w:r>
        <w:rPr>
          <w:rFonts w:ascii="仿宋_GB2312" w:hAnsi="Times New Roman" w:eastAsia="仿宋_GB2312"/>
          <w:b/>
          <w:bCs/>
          <w:color w:val="auto"/>
          <w:sz w:val="24"/>
          <w:szCs w:val="24"/>
          <w:highlight w:val="none"/>
        </w:rPr>
        <w:t>.</w:t>
      </w:r>
      <w:r>
        <w:rPr>
          <w:rFonts w:hint="eastAsia" w:ascii="仿宋_GB2312" w:hAnsi="Times New Roman" w:eastAsia="仿宋_GB2312"/>
          <w:b/>
          <w:bCs/>
          <w:color w:val="auto"/>
          <w:sz w:val="24"/>
          <w:szCs w:val="24"/>
          <w:highlight w:val="none"/>
        </w:rPr>
        <w:t>联系地址：</w:t>
      </w:r>
      <w:r>
        <w:rPr>
          <w:rFonts w:hint="eastAsia" w:ascii="仿宋_GB2312" w:hAnsi="Times New Roman" w:eastAsia="仿宋_GB2312"/>
          <w:color w:val="auto"/>
          <w:sz w:val="24"/>
          <w:szCs w:val="24"/>
          <w:highlight w:val="none"/>
        </w:rPr>
        <w:t>东莞市松山湖园区新城路5号道弘龙怡智谷A栋10楼；</w:t>
      </w:r>
    </w:p>
    <w:p w14:paraId="705618ED">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b/>
          <w:bCs/>
          <w:color w:val="auto"/>
          <w:sz w:val="24"/>
          <w:szCs w:val="24"/>
          <w:highlight w:val="none"/>
        </w:rPr>
        <w:t>5</w:t>
      </w:r>
      <w:r>
        <w:rPr>
          <w:rFonts w:ascii="仿宋_GB2312" w:hAnsi="Times New Roman" w:eastAsia="仿宋_GB2312"/>
          <w:b/>
          <w:bCs/>
          <w:color w:val="auto"/>
          <w:sz w:val="24"/>
          <w:szCs w:val="24"/>
          <w:highlight w:val="none"/>
        </w:rPr>
        <w:t>.</w:t>
      </w:r>
      <w:r>
        <w:rPr>
          <w:rFonts w:hint="eastAsia" w:ascii="仿宋_GB2312" w:hAnsi="Times New Roman" w:eastAsia="仿宋_GB2312"/>
          <w:b/>
          <w:bCs/>
          <w:color w:val="auto"/>
          <w:sz w:val="24"/>
          <w:szCs w:val="24"/>
          <w:highlight w:val="none"/>
        </w:rPr>
        <w:t>邮编：</w:t>
      </w:r>
      <w:r>
        <w:rPr>
          <w:rFonts w:hint="eastAsia" w:ascii="仿宋_GB2312" w:hAnsi="Times New Roman" w:eastAsia="仿宋_GB2312"/>
          <w:color w:val="auto"/>
          <w:sz w:val="24"/>
          <w:szCs w:val="24"/>
          <w:highlight w:val="none"/>
        </w:rPr>
        <w:t>523000。</w:t>
      </w:r>
    </w:p>
    <w:p w14:paraId="7885B9BB">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让我们共同为建立健康、公平的商业秩序和实现双赢而努力！</w:t>
      </w:r>
    </w:p>
    <w:p w14:paraId="489C60B7">
      <w:pPr>
        <w:pStyle w:val="56"/>
        <w:snapToGrid w:val="0"/>
        <w:spacing w:line="580" w:lineRule="exact"/>
        <w:ind w:firstLine="480" w:firstLineChars="2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特此致函！</w:t>
      </w:r>
    </w:p>
    <w:p w14:paraId="6BFF6A80">
      <w:pPr>
        <w:pStyle w:val="56"/>
        <w:snapToGrid w:val="0"/>
        <w:spacing w:line="580" w:lineRule="exact"/>
        <w:ind w:firstLine="3252" w:firstLineChars="1355"/>
        <w:jc w:val="right"/>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（签章）</w:t>
      </w:r>
    </w:p>
    <w:p w14:paraId="33B54EB2">
      <w:pPr>
        <w:pStyle w:val="56"/>
        <w:snapToGrid w:val="0"/>
        <w:spacing w:line="580" w:lineRule="exact"/>
        <w:ind w:firstLine="2981" w:firstLineChars="1355"/>
        <w:jc w:val="right"/>
        <w:rPr>
          <w:sz w:val="24"/>
          <w:szCs w:val="24"/>
          <w:highlight w:val="none"/>
        </w:rPr>
      </w:pPr>
      <w:r>
        <w:rPr>
          <w:rFonts w:hint="eastAsia" w:ascii="仿宋_GB2312"/>
          <w:color w:val="auto"/>
          <w:sz w:val="22"/>
          <w:szCs w:val="22"/>
          <w:highlight w:val="none"/>
        </w:rPr>
        <w:t>日期：</w:t>
      </w:r>
      <w:r>
        <w:rPr>
          <w:rFonts w:hint="eastAsia" w:ascii="仿宋_GB2312"/>
          <w:color w:val="auto"/>
          <w:sz w:val="22"/>
          <w:szCs w:val="22"/>
          <w:highlight w:val="none"/>
          <w:lang w:val="en-US" w:eastAsia="zh-CN"/>
        </w:rPr>
        <w:t xml:space="preserve">      </w:t>
      </w:r>
      <w:r>
        <w:rPr>
          <w:rFonts w:hint="eastAsia" w:ascii="仿宋_GB2312"/>
          <w:color w:val="auto"/>
          <w:sz w:val="22"/>
          <w:szCs w:val="22"/>
          <w:highlight w:val="none"/>
        </w:rPr>
        <w:t>年</w:t>
      </w:r>
      <w:r>
        <w:rPr>
          <w:rFonts w:hint="eastAsia" w:ascii="仿宋_GB2312"/>
          <w:color w:val="auto"/>
          <w:sz w:val="22"/>
          <w:szCs w:val="22"/>
          <w:highlight w:val="none"/>
          <w:lang w:val="en-US" w:eastAsia="zh-CN"/>
        </w:rPr>
        <w:t xml:space="preserve">   </w:t>
      </w:r>
      <w:r>
        <w:rPr>
          <w:rFonts w:hint="eastAsia" w:ascii="仿宋_GB2312"/>
          <w:color w:val="auto"/>
          <w:sz w:val="22"/>
          <w:szCs w:val="22"/>
          <w:highlight w:val="none"/>
        </w:rPr>
        <w:t>月</w:t>
      </w:r>
      <w:r>
        <w:rPr>
          <w:rFonts w:hint="eastAsia" w:ascii="仿宋_GB2312"/>
          <w:color w:val="auto"/>
          <w:sz w:val="22"/>
          <w:szCs w:val="22"/>
          <w:highlight w:val="none"/>
          <w:lang w:val="en-US" w:eastAsia="zh-CN"/>
        </w:rPr>
        <w:t xml:space="preserve">   </w:t>
      </w:r>
      <w:r>
        <w:rPr>
          <w:rFonts w:hint="eastAsia" w:ascii="仿宋_GB2312"/>
          <w:color w:val="auto"/>
          <w:sz w:val="22"/>
          <w:szCs w:val="22"/>
          <w:highlight w:val="none"/>
        </w:rPr>
        <w:t>日</w:t>
      </w:r>
    </w:p>
    <w:p w14:paraId="10F564B0">
      <w:pPr>
        <w:rPr>
          <w:highlight w:val="none"/>
        </w:rPr>
      </w:pPr>
    </w:p>
    <w:p w14:paraId="6BC210BF">
      <w:pPr>
        <w:rPr>
          <w:highlight w:val="none"/>
        </w:rPr>
      </w:pPr>
    </w:p>
    <w:p w14:paraId="203AED42">
      <w:pPr>
        <w:pStyle w:val="17"/>
        <w:rPr>
          <w:highlight w:val="none"/>
        </w:rPr>
      </w:pPr>
    </w:p>
    <w:p w14:paraId="687DB7CB">
      <w:pPr>
        <w:pStyle w:val="17"/>
        <w:rPr>
          <w:highlight w:val="none"/>
        </w:rPr>
      </w:pPr>
    </w:p>
    <w:p w14:paraId="2C3BDA1B">
      <w:pPr>
        <w:pStyle w:val="56"/>
        <w:keepNext w:val="0"/>
        <w:keepLines w:val="0"/>
        <w:pageBreakBefore w:val="0"/>
        <w:widowControl w:val="0"/>
        <w:kinsoku/>
        <w:wordWrap/>
        <w:overflowPunct/>
        <w:topLinePunct w:val="0"/>
        <w:bidi w:val="0"/>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47F268CA">
      <w:pPr>
        <w:pStyle w:val="56"/>
        <w:keepNext w:val="0"/>
        <w:keepLines w:val="0"/>
        <w:pageBreakBefore w:val="0"/>
        <w:widowControl w:val="0"/>
        <w:kinsoku/>
        <w:wordWrap/>
        <w:overflowPunct/>
        <w:topLinePunct w:val="0"/>
        <w:bidi w:val="0"/>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5A08D4F2">
      <w:pPr>
        <w:pStyle w:val="56"/>
        <w:keepNext w:val="0"/>
        <w:keepLines w:val="0"/>
        <w:pageBreakBefore w:val="0"/>
        <w:widowControl w:val="0"/>
        <w:kinsoku/>
        <w:wordWrap/>
        <w:overflowPunct/>
        <w:topLinePunct w:val="0"/>
        <w:bidi w:val="0"/>
        <w:snapToGrid w:val="0"/>
        <w:spacing w:line="580" w:lineRule="exact"/>
        <w:ind w:firstLine="0"/>
        <w:jc w:val="center"/>
        <w:rPr>
          <w:rFonts w:ascii="楷体_GB2312" w:hAnsi="Times New Roman" w:eastAsia="楷体_GB2312"/>
          <w:sz w:val="28"/>
          <w:szCs w:val="28"/>
          <w:highlight w:val="none"/>
          <w:lang w:val="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hint="eastAsia" w:ascii="楷体_GB2312" w:hAnsi="Times New Roman" w:eastAsia="楷体_GB2312"/>
          <w:sz w:val="28"/>
          <w:szCs w:val="28"/>
          <w:highlight w:val="none"/>
          <w:lang w:val="zh-CN"/>
        </w:rPr>
        <w:t>编号：</w:t>
      </w:r>
    </w:p>
    <w:p w14:paraId="6379BE09">
      <w:pPr>
        <w:pStyle w:val="56"/>
        <w:keepNext w:val="0"/>
        <w:keepLines w:val="0"/>
        <w:pageBreakBefore w:val="0"/>
        <w:widowControl w:val="0"/>
        <w:kinsoku/>
        <w:wordWrap/>
        <w:overflowPunct/>
        <w:topLinePunct w:val="0"/>
        <w:bidi w:val="0"/>
        <w:snapToGrid w:val="0"/>
        <w:spacing w:line="580" w:lineRule="exact"/>
        <w:ind w:firstLine="0"/>
        <w:jc w:val="center"/>
        <w:rPr>
          <w:rFonts w:ascii="楷体_GB2312" w:hAnsi="Times New Roman" w:eastAsia="楷体_GB2312"/>
          <w:sz w:val="28"/>
          <w:szCs w:val="28"/>
          <w:highlight w:val="none"/>
          <w:lang w:val="zh-CN"/>
        </w:rPr>
      </w:pPr>
    </w:p>
    <w:p w14:paraId="6476A57C">
      <w:pPr>
        <w:keepNext w:val="0"/>
        <w:keepLines w:val="0"/>
        <w:pageBreakBefore w:val="0"/>
        <w:widowControl w:val="0"/>
        <w:kinsoku/>
        <w:wordWrap/>
        <w:overflowPunct/>
        <w:topLinePunct w:val="0"/>
        <w:autoSpaceDE w:val="0"/>
        <w:autoSpaceDN w:val="0"/>
        <w:bidi w:val="0"/>
        <w:adjustRightInd w:val="0"/>
        <w:spacing w:line="580" w:lineRule="exact"/>
        <w:ind w:firstLine="525" w:firstLineChars="250"/>
        <w:jc w:val="left"/>
        <w:rPr>
          <w:rFonts w:cs="Times New Roman"/>
          <w:kern w:val="0"/>
          <w:highlight w:val="none"/>
          <w:lang w:val="zh-CN"/>
        </w:rPr>
      </w:pPr>
      <w:r>
        <w:rPr>
          <w:rFonts w:cs="Times New Roman"/>
          <w:highlight w:val="none"/>
          <w:lang w:val="zh-CN"/>
        </w:rPr>
        <w:t>我单位于</w:t>
      </w:r>
      <w:r>
        <w:rPr>
          <w:rFonts w:cs="Times New Roman"/>
          <w:highlight w:val="none"/>
          <w:u w:val="single"/>
          <w:lang w:val="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cs="Times New Roman"/>
          <w:highlight w:val="none"/>
          <w:u w:val="single"/>
        </w:rPr>
        <w:t xml:space="preserve">                 </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610AE5B8">
      <w:pPr>
        <w:keepNext w:val="0"/>
        <w:keepLines w:val="0"/>
        <w:pageBreakBefore w:val="0"/>
        <w:widowControl w:val="0"/>
        <w:kinsoku/>
        <w:wordWrap/>
        <w:overflowPunct/>
        <w:topLinePunct w:val="0"/>
        <w:autoSpaceDE w:val="0"/>
        <w:autoSpaceDN w:val="0"/>
        <w:bidi w:val="0"/>
        <w:adjustRightInd w:val="0"/>
        <w:spacing w:line="580" w:lineRule="exact"/>
        <w:ind w:firstLine="525" w:firstLineChars="250"/>
        <w:jc w:val="left"/>
        <w:rPr>
          <w:rFonts w:cs="Times New Roman"/>
          <w:kern w:val="0"/>
          <w:highlight w:val="none"/>
          <w:lang w:val="zh-CN"/>
        </w:rPr>
      </w:pPr>
    </w:p>
    <w:p w14:paraId="595B39DC">
      <w:pPr>
        <w:keepNext w:val="0"/>
        <w:keepLines w:val="0"/>
        <w:pageBreakBefore w:val="0"/>
        <w:widowControl w:val="0"/>
        <w:kinsoku/>
        <w:wordWrap/>
        <w:overflowPunct/>
        <w:topLinePunct w:val="0"/>
        <w:autoSpaceDE w:val="0"/>
        <w:autoSpaceDN w:val="0"/>
        <w:bidi w:val="0"/>
        <w:adjustRightInd w:val="0"/>
        <w:snapToGrid w:val="0"/>
        <w:spacing w:line="580" w:lineRule="exact"/>
        <w:jc w:val="left"/>
        <w:rPr>
          <w:rFonts w:cs="Times New Roman"/>
          <w:highlight w:val="none"/>
          <w:lang w:val="zh-CN"/>
        </w:rPr>
      </w:pPr>
      <w:r>
        <w:rPr>
          <w:rFonts w:cs="Times New Roman"/>
          <w:highlight w:val="none"/>
          <w:lang w:val="zh-CN"/>
        </w:rPr>
        <w:t xml:space="preserve">                               （公司盖章）</w:t>
      </w:r>
    </w:p>
    <w:p w14:paraId="1E36FD1C">
      <w:pPr>
        <w:keepNext w:val="0"/>
        <w:keepLines w:val="0"/>
        <w:pageBreakBefore w:val="0"/>
        <w:widowControl w:val="0"/>
        <w:kinsoku/>
        <w:wordWrap/>
        <w:overflowPunct/>
        <w:topLinePunct w:val="0"/>
        <w:autoSpaceDE w:val="0"/>
        <w:autoSpaceDN w:val="0"/>
        <w:bidi w:val="0"/>
        <w:adjustRightInd w:val="0"/>
        <w:snapToGrid w:val="0"/>
        <w:spacing w:line="580" w:lineRule="exact"/>
        <w:ind w:firstLine="2940" w:firstLineChars="1400"/>
        <w:rPr>
          <w:rFonts w:cs="Times New Roman"/>
          <w:highlight w:val="none"/>
        </w:rPr>
      </w:pPr>
      <w:r>
        <w:rPr>
          <w:rFonts w:cs="Times New Roman"/>
          <w:highlight w:val="none"/>
        </w:rPr>
        <w:t>法定代表人</w:t>
      </w:r>
      <w:r>
        <w:rPr>
          <w:rFonts w:hint="eastAsia" w:cs="Times New Roman"/>
          <w:highlight w:val="none"/>
          <w:lang w:val="en-US" w:eastAsia="zh-CN"/>
        </w:rPr>
        <w:t>或授权人</w:t>
      </w:r>
      <w:r>
        <w:rPr>
          <w:rFonts w:cs="Times New Roman"/>
          <w:highlight w:val="none"/>
        </w:rPr>
        <w:t>：</w:t>
      </w:r>
    </w:p>
    <w:p w14:paraId="0D42AD7C">
      <w:pPr>
        <w:keepNext w:val="0"/>
        <w:keepLines w:val="0"/>
        <w:pageBreakBefore w:val="0"/>
        <w:widowControl w:val="0"/>
        <w:kinsoku/>
        <w:wordWrap/>
        <w:overflowPunct/>
        <w:topLinePunct w:val="0"/>
        <w:autoSpaceDE w:val="0"/>
        <w:autoSpaceDN w:val="0"/>
        <w:bidi w:val="0"/>
        <w:adjustRightInd w:val="0"/>
        <w:snapToGrid w:val="0"/>
        <w:spacing w:line="580" w:lineRule="exact"/>
        <w:jc w:val="right"/>
        <w:rPr>
          <w:rFonts w:cs="Times New Roman"/>
          <w:highlight w:val="none"/>
        </w:rPr>
      </w:pPr>
    </w:p>
    <w:p w14:paraId="1F2DB32F">
      <w:pPr>
        <w:keepNext w:val="0"/>
        <w:keepLines w:val="0"/>
        <w:pageBreakBefore w:val="0"/>
        <w:widowControl w:val="0"/>
        <w:kinsoku/>
        <w:wordWrap/>
        <w:overflowPunct/>
        <w:topLinePunct w:val="0"/>
        <w:autoSpaceDE w:val="0"/>
        <w:autoSpaceDN w:val="0"/>
        <w:bidi w:val="0"/>
        <w:adjustRightInd w:val="0"/>
        <w:snapToGrid w:val="0"/>
        <w:spacing w:line="580" w:lineRule="exact"/>
        <w:jc w:val="right"/>
        <w:rPr>
          <w:rFonts w:cs="Times New Roman"/>
          <w:highlight w:val="none"/>
        </w:rPr>
      </w:pPr>
      <w:r>
        <w:rPr>
          <w:rFonts w:cs="Times New Roman"/>
          <w:highlight w:val="none"/>
        </w:rPr>
        <w:t>年   月    日</w:t>
      </w:r>
    </w:p>
    <w:bookmarkEnd w:id="6"/>
    <w:bookmarkEnd w:id="7"/>
    <w:p w14:paraId="588723ED">
      <w:pPr>
        <w:rPr>
          <w:highlight w:val="none"/>
        </w:rPr>
      </w:pPr>
    </w:p>
    <w:p w14:paraId="23F186B2">
      <w:pPr>
        <w:widowControl/>
        <w:numPr>
          <w:ilvl w:val="0"/>
          <w:numId w:val="0"/>
        </w:numPr>
        <w:adjustRightInd w:val="0"/>
        <w:snapToGrid w:val="0"/>
        <w:spacing w:before="166" w:beforeLines="50" w:after="166" w:afterLines="50" w:line="336" w:lineRule="auto"/>
        <w:ind w:leftChars="0"/>
        <w:rPr>
          <w:rFonts w:hint="eastAsia" w:ascii="仿宋" w:hAnsi="仿宋" w:eastAsia="仿宋" w:cs="仿宋"/>
          <w:b/>
          <w:sz w:val="24"/>
          <w:highlight w:val="none"/>
          <w:lang w:eastAsia="zh-CN"/>
        </w:rPr>
      </w:pPr>
      <w:bookmarkStart w:id="8" w:name="_OAIOperationRangsEnd"/>
      <w:bookmarkEnd w:id="8"/>
    </w:p>
    <w:sectPr>
      <w:footerReference r:id="rId5" w:type="default"/>
      <w:pgSz w:w="11907" w:h="16840"/>
      <w:pgMar w:top="1135" w:right="1134" w:bottom="851" w:left="1418" w:header="851" w:footer="1191" w:gutter="0"/>
      <w:pgBorders>
        <w:top w:val="none" w:sz="0" w:space="0"/>
        <w:left w:val="none" w:sz="0" w:space="0"/>
        <w:bottom w:val="none" w:sz="0" w:space="0"/>
        <w:right w:val="none" w:sz="0" w:space="0"/>
      </w:pgBorders>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6E365F7-9DEF-4C01-97CE-1107DF73D6C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8DA45C9-59DE-4429-BAE7-97231C1D0A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embedRegular r:id="rId3" w:fontKey="{5DF5F1AE-4BFA-43F2-AB93-175ED7D4E7FF}"/>
  </w:font>
  <w:font w:name="仿宋_GB2312">
    <w:panose1 w:val="02010609030101010101"/>
    <w:charset w:val="86"/>
    <w:family w:val="modern"/>
    <w:pitch w:val="default"/>
    <w:sig w:usb0="00000001" w:usb1="080E0000" w:usb2="00000000" w:usb3="00000000" w:csb0="00040000" w:csb1="00000000"/>
    <w:embedRegular r:id="rId4" w:fontKey="{390A9F25-F598-4707-B720-4105F6946D3B}"/>
  </w:font>
  <w:font w:name="仿宋">
    <w:panose1 w:val="02010609060101010101"/>
    <w:charset w:val="86"/>
    <w:family w:val="modern"/>
    <w:pitch w:val="default"/>
    <w:sig w:usb0="800002BF" w:usb1="38CF7CFA" w:usb2="00000016" w:usb3="00000000" w:csb0="00040001" w:csb1="00000000"/>
    <w:embedRegular r:id="rId5" w:fontKey="{25BB7D1A-9CED-4CB8-8476-2F3BD5B58906}"/>
  </w:font>
  <w:font w:name="方正书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embedRegular r:id="rId6" w:fontKey="{36905460-E47F-4C81-A08E-6D1F4B722AD0}"/>
  </w:font>
  <w:font w:name="楷体_GB2312">
    <w:panose1 w:val="02010609030101010101"/>
    <w:charset w:val="86"/>
    <w:family w:val="modern"/>
    <w:pitch w:val="default"/>
    <w:sig w:usb0="00000001" w:usb1="080E0000" w:usb2="00000000" w:usb3="00000000" w:csb0="00040000" w:csb1="00000000"/>
    <w:embedRegular r:id="rId7" w:fontKey="{8755FEE1-E61E-44F6-951B-F372CCFB7E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DE93">
    <w:pPr>
      <w:tabs>
        <w:tab w:val="left" w:pos="3261"/>
        <w:tab w:val="right" w:pos="8306"/>
      </w:tabs>
      <w:adjustRightInd w:val="0"/>
      <w:snapToGrid w:val="0"/>
      <w:spacing w:line="360" w:lineRule="auto"/>
      <w:rPr>
        <w:rFonts w:ascii="Tahoma" w:hAnsi="Tahoma"/>
        <w:sz w:val="18"/>
        <w:szCs w:val="18"/>
      </w:rPr>
    </w:pPr>
    <w:r>
      <w:rPr>
        <w:rFonts w:hint="eastAsia" w:ascii="Tahoma" w:hAnsi="Tahoma"/>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3286">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0535D">
                          <w:pPr>
                            <w:pStyle w:val="1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60535D">
                    <w:pPr>
                      <w:pStyle w:val="1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50ACB">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720"/>
        </w:tabs>
        <w:ind w:left="720" w:hanging="72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2BA4E6F"/>
    <w:multiLevelType w:val="multilevel"/>
    <w:tmpl w:val="02BA4E6F"/>
    <w:lvl w:ilvl="0" w:tentative="0">
      <w:start w:val="1"/>
      <w:numFmt w:val="bullet"/>
      <w:pStyle w:val="60"/>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E4B5A32"/>
    <w:multiLevelType w:val="multilevel"/>
    <w:tmpl w:val="1E4B5A32"/>
    <w:lvl w:ilvl="0" w:tentative="0">
      <w:start w:val="1"/>
      <w:numFmt w:val="decimal"/>
      <w:suff w:val="nothing"/>
      <w:lvlText w:val="%1"/>
      <w:lvlJc w:val="center"/>
      <w:pPr>
        <w:ind w:left="106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A9EE35F"/>
    <w:multiLevelType w:val="singleLevel"/>
    <w:tmpl w:val="3A9EE35F"/>
    <w:lvl w:ilvl="0" w:tentative="0">
      <w:start w:val="4"/>
      <w:numFmt w:val="chineseCounting"/>
      <w:suff w:val="nothing"/>
      <w:lvlText w:val="%1、"/>
      <w:lvlJc w:val="left"/>
      <w:rPr>
        <w:rFonts w:hint="eastAsia"/>
      </w:rPr>
    </w:lvl>
  </w:abstractNum>
  <w:abstractNum w:abstractNumId="4">
    <w:nsid w:val="6099A159"/>
    <w:multiLevelType w:val="singleLevel"/>
    <w:tmpl w:val="6099A159"/>
    <w:lvl w:ilvl="0" w:tentative="0">
      <w:start w:val="1"/>
      <w:numFmt w:val="decimal"/>
      <w:suff w:val="nothing"/>
      <w:lvlText w:val="%1、"/>
      <w:lvlJc w:val="left"/>
      <w:rPr>
        <w:rFonts w:cs="Times New Roman"/>
      </w:rPr>
    </w:lvl>
  </w:abstractNum>
  <w:abstractNum w:abstractNumId="5">
    <w:nsid w:val="68B40337"/>
    <w:multiLevelType w:val="multilevel"/>
    <w:tmpl w:val="68B40337"/>
    <w:lvl w:ilvl="0" w:tentative="0">
      <w:start w:val="1"/>
      <w:numFmt w:val="japaneseCounting"/>
      <w:pStyle w:val="51"/>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2ZmNmZDA2ZDZjNjk0NzZmN2I0MmM5OWVlZDdkNjMifQ=="/>
  </w:docVars>
  <w:rsids>
    <w:rsidRoot w:val="00BD5ED0"/>
    <w:rsid w:val="00005B73"/>
    <w:rsid w:val="00012BFA"/>
    <w:rsid w:val="000164E6"/>
    <w:rsid w:val="00035F8F"/>
    <w:rsid w:val="00045122"/>
    <w:rsid w:val="000503CE"/>
    <w:rsid w:val="000535B8"/>
    <w:rsid w:val="00055419"/>
    <w:rsid w:val="000616CD"/>
    <w:rsid w:val="00063F50"/>
    <w:rsid w:val="000679B7"/>
    <w:rsid w:val="00074383"/>
    <w:rsid w:val="00077653"/>
    <w:rsid w:val="000930FE"/>
    <w:rsid w:val="000941B8"/>
    <w:rsid w:val="0009582E"/>
    <w:rsid w:val="000A0257"/>
    <w:rsid w:val="000A0DFB"/>
    <w:rsid w:val="000B72CC"/>
    <w:rsid w:val="000B7B60"/>
    <w:rsid w:val="000B7FE4"/>
    <w:rsid w:val="000C0834"/>
    <w:rsid w:val="000C2B30"/>
    <w:rsid w:val="000C2D95"/>
    <w:rsid w:val="000C327D"/>
    <w:rsid w:val="000C4264"/>
    <w:rsid w:val="000C5B5B"/>
    <w:rsid w:val="000D2A43"/>
    <w:rsid w:val="000D2D57"/>
    <w:rsid w:val="000D4735"/>
    <w:rsid w:val="000D6353"/>
    <w:rsid w:val="000E7D7C"/>
    <w:rsid w:val="000F2427"/>
    <w:rsid w:val="000F2FC6"/>
    <w:rsid w:val="000F4060"/>
    <w:rsid w:val="000F575A"/>
    <w:rsid w:val="00101319"/>
    <w:rsid w:val="0010706E"/>
    <w:rsid w:val="00115B17"/>
    <w:rsid w:val="0012090D"/>
    <w:rsid w:val="00124D32"/>
    <w:rsid w:val="001264A1"/>
    <w:rsid w:val="00131E92"/>
    <w:rsid w:val="00136549"/>
    <w:rsid w:val="00137A41"/>
    <w:rsid w:val="00143273"/>
    <w:rsid w:val="0014433E"/>
    <w:rsid w:val="0014722B"/>
    <w:rsid w:val="0014729E"/>
    <w:rsid w:val="00152F22"/>
    <w:rsid w:val="00153F65"/>
    <w:rsid w:val="00156EF1"/>
    <w:rsid w:val="00157353"/>
    <w:rsid w:val="0016352B"/>
    <w:rsid w:val="0016665E"/>
    <w:rsid w:val="00170C97"/>
    <w:rsid w:val="0017142D"/>
    <w:rsid w:val="00175372"/>
    <w:rsid w:val="00182942"/>
    <w:rsid w:val="001844CB"/>
    <w:rsid w:val="00191009"/>
    <w:rsid w:val="00191E64"/>
    <w:rsid w:val="001925E5"/>
    <w:rsid w:val="00193F95"/>
    <w:rsid w:val="00196FE0"/>
    <w:rsid w:val="001A2C93"/>
    <w:rsid w:val="001A45EA"/>
    <w:rsid w:val="001A5AE5"/>
    <w:rsid w:val="001B09E7"/>
    <w:rsid w:val="001B6B51"/>
    <w:rsid w:val="001C22FD"/>
    <w:rsid w:val="001C279B"/>
    <w:rsid w:val="001C6622"/>
    <w:rsid w:val="001D0EAA"/>
    <w:rsid w:val="001D0FE8"/>
    <w:rsid w:val="001D6AB7"/>
    <w:rsid w:val="001E5549"/>
    <w:rsid w:val="001E7603"/>
    <w:rsid w:val="001F7CAF"/>
    <w:rsid w:val="002000CE"/>
    <w:rsid w:val="002008CC"/>
    <w:rsid w:val="00204419"/>
    <w:rsid w:val="00205F12"/>
    <w:rsid w:val="00210BCF"/>
    <w:rsid w:val="00215784"/>
    <w:rsid w:val="00215DF7"/>
    <w:rsid w:val="00220762"/>
    <w:rsid w:val="0022330A"/>
    <w:rsid w:val="00227F02"/>
    <w:rsid w:val="00231A8A"/>
    <w:rsid w:val="002355B4"/>
    <w:rsid w:val="00235976"/>
    <w:rsid w:val="002368CE"/>
    <w:rsid w:val="00236E54"/>
    <w:rsid w:val="00237233"/>
    <w:rsid w:val="00243458"/>
    <w:rsid w:val="00244C63"/>
    <w:rsid w:val="002502B9"/>
    <w:rsid w:val="0025172C"/>
    <w:rsid w:val="00251A1B"/>
    <w:rsid w:val="00254E0E"/>
    <w:rsid w:val="002660E2"/>
    <w:rsid w:val="0026670C"/>
    <w:rsid w:val="00272C17"/>
    <w:rsid w:val="0027714D"/>
    <w:rsid w:val="002905F7"/>
    <w:rsid w:val="00291E40"/>
    <w:rsid w:val="002941DB"/>
    <w:rsid w:val="002A05DD"/>
    <w:rsid w:val="002A1D9A"/>
    <w:rsid w:val="002A32EA"/>
    <w:rsid w:val="002A4476"/>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FC7"/>
    <w:rsid w:val="00331421"/>
    <w:rsid w:val="003432FF"/>
    <w:rsid w:val="003440B1"/>
    <w:rsid w:val="003467AD"/>
    <w:rsid w:val="00352F0E"/>
    <w:rsid w:val="003542F4"/>
    <w:rsid w:val="00354C22"/>
    <w:rsid w:val="00356D07"/>
    <w:rsid w:val="00363811"/>
    <w:rsid w:val="003776A2"/>
    <w:rsid w:val="00393456"/>
    <w:rsid w:val="00393F27"/>
    <w:rsid w:val="00396DB6"/>
    <w:rsid w:val="003A7705"/>
    <w:rsid w:val="003B3AD8"/>
    <w:rsid w:val="003B6841"/>
    <w:rsid w:val="003B7AE8"/>
    <w:rsid w:val="003C2315"/>
    <w:rsid w:val="003C349E"/>
    <w:rsid w:val="003C371F"/>
    <w:rsid w:val="003C5F72"/>
    <w:rsid w:val="003E06C5"/>
    <w:rsid w:val="003E3EEF"/>
    <w:rsid w:val="003E4DE6"/>
    <w:rsid w:val="003F4157"/>
    <w:rsid w:val="003F7A36"/>
    <w:rsid w:val="00404AF8"/>
    <w:rsid w:val="00407262"/>
    <w:rsid w:val="004113A9"/>
    <w:rsid w:val="00412BC5"/>
    <w:rsid w:val="0042773C"/>
    <w:rsid w:val="004321F7"/>
    <w:rsid w:val="004333CD"/>
    <w:rsid w:val="004407A6"/>
    <w:rsid w:val="00445796"/>
    <w:rsid w:val="004504C6"/>
    <w:rsid w:val="00454378"/>
    <w:rsid w:val="00455511"/>
    <w:rsid w:val="00460621"/>
    <w:rsid w:val="00463047"/>
    <w:rsid w:val="00476704"/>
    <w:rsid w:val="0048157A"/>
    <w:rsid w:val="0048198F"/>
    <w:rsid w:val="00481EBF"/>
    <w:rsid w:val="00484829"/>
    <w:rsid w:val="00484B15"/>
    <w:rsid w:val="00485FBD"/>
    <w:rsid w:val="00486C6C"/>
    <w:rsid w:val="00490A12"/>
    <w:rsid w:val="00491E00"/>
    <w:rsid w:val="00496744"/>
    <w:rsid w:val="00497C31"/>
    <w:rsid w:val="004A699E"/>
    <w:rsid w:val="004B145E"/>
    <w:rsid w:val="004B66ED"/>
    <w:rsid w:val="004B7C4E"/>
    <w:rsid w:val="004C3A44"/>
    <w:rsid w:val="004D17EB"/>
    <w:rsid w:val="004D1C1A"/>
    <w:rsid w:val="004D2CEB"/>
    <w:rsid w:val="004E611C"/>
    <w:rsid w:val="004E7081"/>
    <w:rsid w:val="004F2DA5"/>
    <w:rsid w:val="004F3897"/>
    <w:rsid w:val="004F5933"/>
    <w:rsid w:val="004F717F"/>
    <w:rsid w:val="0050381E"/>
    <w:rsid w:val="00507325"/>
    <w:rsid w:val="005115E1"/>
    <w:rsid w:val="00513E78"/>
    <w:rsid w:val="0052004C"/>
    <w:rsid w:val="00520138"/>
    <w:rsid w:val="005210A5"/>
    <w:rsid w:val="005371FF"/>
    <w:rsid w:val="005461F1"/>
    <w:rsid w:val="00560A5A"/>
    <w:rsid w:val="00561B95"/>
    <w:rsid w:val="00565B17"/>
    <w:rsid w:val="0058123D"/>
    <w:rsid w:val="00590112"/>
    <w:rsid w:val="005968DF"/>
    <w:rsid w:val="005A4E94"/>
    <w:rsid w:val="005A74C6"/>
    <w:rsid w:val="005B3EF9"/>
    <w:rsid w:val="005B48FC"/>
    <w:rsid w:val="005B7F8E"/>
    <w:rsid w:val="005C161C"/>
    <w:rsid w:val="005C320D"/>
    <w:rsid w:val="005C6227"/>
    <w:rsid w:val="005E2D48"/>
    <w:rsid w:val="005E3228"/>
    <w:rsid w:val="005F1911"/>
    <w:rsid w:val="005F3328"/>
    <w:rsid w:val="005F55FA"/>
    <w:rsid w:val="00604A1A"/>
    <w:rsid w:val="00605737"/>
    <w:rsid w:val="00610E99"/>
    <w:rsid w:val="00611986"/>
    <w:rsid w:val="006155F4"/>
    <w:rsid w:val="0063300F"/>
    <w:rsid w:val="00633DF9"/>
    <w:rsid w:val="00635B18"/>
    <w:rsid w:val="00636600"/>
    <w:rsid w:val="00640CD1"/>
    <w:rsid w:val="0064381D"/>
    <w:rsid w:val="0065355D"/>
    <w:rsid w:val="0066677A"/>
    <w:rsid w:val="006778F7"/>
    <w:rsid w:val="00677B79"/>
    <w:rsid w:val="00681EC9"/>
    <w:rsid w:val="006942F8"/>
    <w:rsid w:val="0069444D"/>
    <w:rsid w:val="006A260A"/>
    <w:rsid w:val="006A33C7"/>
    <w:rsid w:val="006A736D"/>
    <w:rsid w:val="006B507A"/>
    <w:rsid w:val="006C19C7"/>
    <w:rsid w:val="006C1DD0"/>
    <w:rsid w:val="006C65B6"/>
    <w:rsid w:val="006C6BDE"/>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3B54"/>
    <w:rsid w:val="0074619F"/>
    <w:rsid w:val="007469CE"/>
    <w:rsid w:val="00750139"/>
    <w:rsid w:val="00751FC1"/>
    <w:rsid w:val="007564D3"/>
    <w:rsid w:val="00756C95"/>
    <w:rsid w:val="00757900"/>
    <w:rsid w:val="00762CB4"/>
    <w:rsid w:val="00770201"/>
    <w:rsid w:val="007722DD"/>
    <w:rsid w:val="00782C1C"/>
    <w:rsid w:val="00786D41"/>
    <w:rsid w:val="00794F11"/>
    <w:rsid w:val="007953EE"/>
    <w:rsid w:val="00795505"/>
    <w:rsid w:val="00797AC3"/>
    <w:rsid w:val="007A5BEF"/>
    <w:rsid w:val="007A6E42"/>
    <w:rsid w:val="007A6F56"/>
    <w:rsid w:val="007B3FFC"/>
    <w:rsid w:val="007C0745"/>
    <w:rsid w:val="007C258B"/>
    <w:rsid w:val="007C518E"/>
    <w:rsid w:val="007D10A1"/>
    <w:rsid w:val="007D2618"/>
    <w:rsid w:val="007E0968"/>
    <w:rsid w:val="007E314C"/>
    <w:rsid w:val="007E31BF"/>
    <w:rsid w:val="007E751A"/>
    <w:rsid w:val="007E7F57"/>
    <w:rsid w:val="007F10A8"/>
    <w:rsid w:val="007F3ECB"/>
    <w:rsid w:val="007F6003"/>
    <w:rsid w:val="007F6810"/>
    <w:rsid w:val="007F74D9"/>
    <w:rsid w:val="008028C3"/>
    <w:rsid w:val="00803F4C"/>
    <w:rsid w:val="00806D35"/>
    <w:rsid w:val="008107BC"/>
    <w:rsid w:val="008139B0"/>
    <w:rsid w:val="00816D3B"/>
    <w:rsid w:val="00833C18"/>
    <w:rsid w:val="0083445B"/>
    <w:rsid w:val="0083540F"/>
    <w:rsid w:val="00837F4F"/>
    <w:rsid w:val="00846B12"/>
    <w:rsid w:val="00847E4A"/>
    <w:rsid w:val="0085035E"/>
    <w:rsid w:val="00852823"/>
    <w:rsid w:val="00854E40"/>
    <w:rsid w:val="008558E9"/>
    <w:rsid w:val="0085632D"/>
    <w:rsid w:val="00864EBB"/>
    <w:rsid w:val="00865807"/>
    <w:rsid w:val="0087416D"/>
    <w:rsid w:val="00880ADA"/>
    <w:rsid w:val="00880D0D"/>
    <w:rsid w:val="0088194E"/>
    <w:rsid w:val="00883D24"/>
    <w:rsid w:val="00886C0D"/>
    <w:rsid w:val="008908B3"/>
    <w:rsid w:val="00890C1B"/>
    <w:rsid w:val="008922C7"/>
    <w:rsid w:val="008924EB"/>
    <w:rsid w:val="008A17BF"/>
    <w:rsid w:val="008A2C80"/>
    <w:rsid w:val="008A5E76"/>
    <w:rsid w:val="008B0C71"/>
    <w:rsid w:val="008B368D"/>
    <w:rsid w:val="008C2811"/>
    <w:rsid w:val="008C6743"/>
    <w:rsid w:val="008D0DC7"/>
    <w:rsid w:val="008D19F7"/>
    <w:rsid w:val="008D2EAB"/>
    <w:rsid w:val="008D4710"/>
    <w:rsid w:val="008D517E"/>
    <w:rsid w:val="008D6B16"/>
    <w:rsid w:val="008E3B0E"/>
    <w:rsid w:val="008E4625"/>
    <w:rsid w:val="008E718F"/>
    <w:rsid w:val="008E71DF"/>
    <w:rsid w:val="008F00D0"/>
    <w:rsid w:val="008F36EF"/>
    <w:rsid w:val="008F44F8"/>
    <w:rsid w:val="008F5E1F"/>
    <w:rsid w:val="008F63E9"/>
    <w:rsid w:val="009009AA"/>
    <w:rsid w:val="00902E6B"/>
    <w:rsid w:val="0090741A"/>
    <w:rsid w:val="00910321"/>
    <w:rsid w:val="00911170"/>
    <w:rsid w:val="009137D0"/>
    <w:rsid w:val="009160E2"/>
    <w:rsid w:val="00921906"/>
    <w:rsid w:val="00925020"/>
    <w:rsid w:val="00926ED4"/>
    <w:rsid w:val="00927186"/>
    <w:rsid w:val="0093182D"/>
    <w:rsid w:val="00932531"/>
    <w:rsid w:val="00932C9F"/>
    <w:rsid w:val="00932F10"/>
    <w:rsid w:val="009437E8"/>
    <w:rsid w:val="00943A2D"/>
    <w:rsid w:val="009447CA"/>
    <w:rsid w:val="00951AD3"/>
    <w:rsid w:val="00964A4B"/>
    <w:rsid w:val="0096611E"/>
    <w:rsid w:val="009673AF"/>
    <w:rsid w:val="009772B9"/>
    <w:rsid w:val="00984E18"/>
    <w:rsid w:val="00985E72"/>
    <w:rsid w:val="00996D73"/>
    <w:rsid w:val="0099786D"/>
    <w:rsid w:val="009B324A"/>
    <w:rsid w:val="009B38A1"/>
    <w:rsid w:val="009B3D46"/>
    <w:rsid w:val="009C67B7"/>
    <w:rsid w:val="009C6F7D"/>
    <w:rsid w:val="009D2A2D"/>
    <w:rsid w:val="009F03D0"/>
    <w:rsid w:val="009F34D1"/>
    <w:rsid w:val="009F67E6"/>
    <w:rsid w:val="009F7302"/>
    <w:rsid w:val="00A105F4"/>
    <w:rsid w:val="00A11CF1"/>
    <w:rsid w:val="00A20D53"/>
    <w:rsid w:val="00A2111B"/>
    <w:rsid w:val="00A25FAB"/>
    <w:rsid w:val="00A31649"/>
    <w:rsid w:val="00A34A4A"/>
    <w:rsid w:val="00A36417"/>
    <w:rsid w:val="00A40F11"/>
    <w:rsid w:val="00A43898"/>
    <w:rsid w:val="00A450CE"/>
    <w:rsid w:val="00A46C5D"/>
    <w:rsid w:val="00A5612B"/>
    <w:rsid w:val="00A6082D"/>
    <w:rsid w:val="00A63294"/>
    <w:rsid w:val="00A71EF2"/>
    <w:rsid w:val="00A72D1C"/>
    <w:rsid w:val="00A74EE0"/>
    <w:rsid w:val="00A76643"/>
    <w:rsid w:val="00A7749C"/>
    <w:rsid w:val="00A7786F"/>
    <w:rsid w:val="00A820BE"/>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F04F6"/>
    <w:rsid w:val="00AF089C"/>
    <w:rsid w:val="00AF20AC"/>
    <w:rsid w:val="00B01550"/>
    <w:rsid w:val="00B02242"/>
    <w:rsid w:val="00B04A3E"/>
    <w:rsid w:val="00B07B72"/>
    <w:rsid w:val="00B12A96"/>
    <w:rsid w:val="00B132E4"/>
    <w:rsid w:val="00B148F2"/>
    <w:rsid w:val="00B14C6E"/>
    <w:rsid w:val="00B16EE8"/>
    <w:rsid w:val="00B20140"/>
    <w:rsid w:val="00B218FE"/>
    <w:rsid w:val="00B21C59"/>
    <w:rsid w:val="00B244A1"/>
    <w:rsid w:val="00B3448D"/>
    <w:rsid w:val="00B41A9A"/>
    <w:rsid w:val="00B43AE8"/>
    <w:rsid w:val="00B44107"/>
    <w:rsid w:val="00B44693"/>
    <w:rsid w:val="00B506AF"/>
    <w:rsid w:val="00B54259"/>
    <w:rsid w:val="00B54CE6"/>
    <w:rsid w:val="00B54F0B"/>
    <w:rsid w:val="00B64CDD"/>
    <w:rsid w:val="00B67CEE"/>
    <w:rsid w:val="00B72957"/>
    <w:rsid w:val="00B73956"/>
    <w:rsid w:val="00B75E79"/>
    <w:rsid w:val="00B8143C"/>
    <w:rsid w:val="00B87690"/>
    <w:rsid w:val="00B87F6F"/>
    <w:rsid w:val="00B9040F"/>
    <w:rsid w:val="00B92C68"/>
    <w:rsid w:val="00B95683"/>
    <w:rsid w:val="00B979FB"/>
    <w:rsid w:val="00BB21E0"/>
    <w:rsid w:val="00BB526C"/>
    <w:rsid w:val="00BC18B3"/>
    <w:rsid w:val="00BC1A2B"/>
    <w:rsid w:val="00BC1BB2"/>
    <w:rsid w:val="00BD5ED0"/>
    <w:rsid w:val="00BE5655"/>
    <w:rsid w:val="00BE62B0"/>
    <w:rsid w:val="00BF2792"/>
    <w:rsid w:val="00BF4097"/>
    <w:rsid w:val="00BF4AA9"/>
    <w:rsid w:val="00C11DC8"/>
    <w:rsid w:val="00C139AD"/>
    <w:rsid w:val="00C1766C"/>
    <w:rsid w:val="00C26BEC"/>
    <w:rsid w:val="00C33174"/>
    <w:rsid w:val="00C36E31"/>
    <w:rsid w:val="00C4146E"/>
    <w:rsid w:val="00C446A4"/>
    <w:rsid w:val="00C51F11"/>
    <w:rsid w:val="00C54610"/>
    <w:rsid w:val="00C607E8"/>
    <w:rsid w:val="00C60F7D"/>
    <w:rsid w:val="00C77966"/>
    <w:rsid w:val="00C802A7"/>
    <w:rsid w:val="00C84880"/>
    <w:rsid w:val="00C85381"/>
    <w:rsid w:val="00C85EFB"/>
    <w:rsid w:val="00C85FDF"/>
    <w:rsid w:val="00C86EDD"/>
    <w:rsid w:val="00C87974"/>
    <w:rsid w:val="00C91C90"/>
    <w:rsid w:val="00C9344C"/>
    <w:rsid w:val="00C94273"/>
    <w:rsid w:val="00CA3ADD"/>
    <w:rsid w:val="00CB1476"/>
    <w:rsid w:val="00CB169A"/>
    <w:rsid w:val="00CC5F7C"/>
    <w:rsid w:val="00CD057C"/>
    <w:rsid w:val="00CD1128"/>
    <w:rsid w:val="00CD2C7B"/>
    <w:rsid w:val="00CE2BC2"/>
    <w:rsid w:val="00CE36C4"/>
    <w:rsid w:val="00CE48DB"/>
    <w:rsid w:val="00CE533B"/>
    <w:rsid w:val="00CF0841"/>
    <w:rsid w:val="00CF1208"/>
    <w:rsid w:val="00D11EB7"/>
    <w:rsid w:val="00D22FB3"/>
    <w:rsid w:val="00D2717E"/>
    <w:rsid w:val="00D320E7"/>
    <w:rsid w:val="00D3269F"/>
    <w:rsid w:val="00D36416"/>
    <w:rsid w:val="00D418BC"/>
    <w:rsid w:val="00D45A27"/>
    <w:rsid w:val="00D46E62"/>
    <w:rsid w:val="00D52541"/>
    <w:rsid w:val="00D54BA0"/>
    <w:rsid w:val="00D608D9"/>
    <w:rsid w:val="00D634C8"/>
    <w:rsid w:val="00D64B79"/>
    <w:rsid w:val="00D66E24"/>
    <w:rsid w:val="00D76D4E"/>
    <w:rsid w:val="00D806A3"/>
    <w:rsid w:val="00D814B6"/>
    <w:rsid w:val="00D8399F"/>
    <w:rsid w:val="00D84FE2"/>
    <w:rsid w:val="00D92409"/>
    <w:rsid w:val="00D95914"/>
    <w:rsid w:val="00DA1560"/>
    <w:rsid w:val="00DA3184"/>
    <w:rsid w:val="00DA5E27"/>
    <w:rsid w:val="00DA65EE"/>
    <w:rsid w:val="00DA7E5B"/>
    <w:rsid w:val="00DB0309"/>
    <w:rsid w:val="00DB6E4E"/>
    <w:rsid w:val="00DC5744"/>
    <w:rsid w:val="00DC619A"/>
    <w:rsid w:val="00DC7FC2"/>
    <w:rsid w:val="00DD2DB5"/>
    <w:rsid w:val="00DD2E0C"/>
    <w:rsid w:val="00DD3DB6"/>
    <w:rsid w:val="00DD4ED1"/>
    <w:rsid w:val="00DD686B"/>
    <w:rsid w:val="00DE3373"/>
    <w:rsid w:val="00DE654E"/>
    <w:rsid w:val="00DE6B3D"/>
    <w:rsid w:val="00DE72B9"/>
    <w:rsid w:val="00DF11FD"/>
    <w:rsid w:val="00DF4ECA"/>
    <w:rsid w:val="00DF5183"/>
    <w:rsid w:val="00DF6697"/>
    <w:rsid w:val="00DF7AB5"/>
    <w:rsid w:val="00DF7F0A"/>
    <w:rsid w:val="00E11376"/>
    <w:rsid w:val="00E21013"/>
    <w:rsid w:val="00E21941"/>
    <w:rsid w:val="00E30D18"/>
    <w:rsid w:val="00E425F9"/>
    <w:rsid w:val="00E444B2"/>
    <w:rsid w:val="00E50267"/>
    <w:rsid w:val="00E55C56"/>
    <w:rsid w:val="00E570B0"/>
    <w:rsid w:val="00E604F7"/>
    <w:rsid w:val="00E65448"/>
    <w:rsid w:val="00E678F0"/>
    <w:rsid w:val="00E71C8B"/>
    <w:rsid w:val="00E762DB"/>
    <w:rsid w:val="00E76DF9"/>
    <w:rsid w:val="00E76EA8"/>
    <w:rsid w:val="00E82677"/>
    <w:rsid w:val="00E85FE3"/>
    <w:rsid w:val="00E87D58"/>
    <w:rsid w:val="00E9124A"/>
    <w:rsid w:val="00E91BC8"/>
    <w:rsid w:val="00EA6B31"/>
    <w:rsid w:val="00EC0694"/>
    <w:rsid w:val="00EC1E4F"/>
    <w:rsid w:val="00EC5723"/>
    <w:rsid w:val="00EC5DF0"/>
    <w:rsid w:val="00ED43D8"/>
    <w:rsid w:val="00EE1FB9"/>
    <w:rsid w:val="00EE2A12"/>
    <w:rsid w:val="00EE3F96"/>
    <w:rsid w:val="00EE5B35"/>
    <w:rsid w:val="00EE7FAE"/>
    <w:rsid w:val="00EF409F"/>
    <w:rsid w:val="00EF491C"/>
    <w:rsid w:val="00EF6DB2"/>
    <w:rsid w:val="00F059EF"/>
    <w:rsid w:val="00F06DF3"/>
    <w:rsid w:val="00F10281"/>
    <w:rsid w:val="00F12122"/>
    <w:rsid w:val="00F13805"/>
    <w:rsid w:val="00F15584"/>
    <w:rsid w:val="00F163D7"/>
    <w:rsid w:val="00F236A2"/>
    <w:rsid w:val="00F25AA0"/>
    <w:rsid w:val="00F27EC3"/>
    <w:rsid w:val="00F301A1"/>
    <w:rsid w:val="00F30DDB"/>
    <w:rsid w:val="00F35D52"/>
    <w:rsid w:val="00F363B7"/>
    <w:rsid w:val="00F37CA6"/>
    <w:rsid w:val="00F46A70"/>
    <w:rsid w:val="00F51913"/>
    <w:rsid w:val="00F55724"/>
    <w:rsid w:val="00F608BD"/>
    <w:rsid w:val="00F67143"/>
    <w:rsid w:val="00F81417"/>
    <w:rsid w:val="00F854B9"/>
    <w:rsid w:val="00F938F5"/>
    <w:rsid w:val="00F94850"/>
    <w:rsid w:val="00F97E28"/>
    <w:rsid w:val="00FA6653"/>
    <w:rsid w:val="00FB1DFB"/>
    <w:rsid w:val="00FB50A2"/>
    <w:rsid w:val="00FB5E05"/>
    <w:rsid w:val="00FB74E0"/>
    <w:rsid w:val="00FC7D84"/>
    <w:rsid w:val="00FD22B3"/>
    <w:rsid w:val="00FD24E2"/>
    <w:rsid w:val="00FD50D4"/>
    <w:rsid w:val="00FD6E74"/>
    <w:rsid w:val="00FE0424"/>
    <w:rsid w:val="00FE3D58"/>
    <w:rsid w:val="00FF2CE6"/>
    <w:rsid w:val="00FF40A5"/>
    <w:rsid w:val="00FF64ED"/>
    <w:rsid w:val="015F254D"/>
    <w:rsid w:val="02F9662B"/>
    <w:rsid w:val="03413EA6"/>
    <w:rsid w:val="035D4211"/>
    <w:rsid w:val="037D5EE3"/>
    <w:rsid w:val="03B35EB3"/>
    <w:rsid w:val="04CF6E29"/>
    <w:rsid w:val="055B454C"/>
    <w:rsid w:val="057D329A"/>
    <w:rsid w:val="059366CF"/>
    <w:rsid w:val="05D00163"/>
    <w:rsid w:val="070E4ECD"/>
    <w:rsid w:val="07637C01"/>
    <w:rsid w:val="077C34B8"/>
    <w:rsid w:val="07A209C4"/>
    <w:rsid w:val="07E85AD2"/>
    <w:rsid w:val="07EE27DC"/>
    <w:rsid w:val="080D26DA"/>
    <w:rsid w:val="08284245"/>
    <w:rsid w:val="084D215A"/>
    <w:rsid w:val="086F1260"/>
    <w:rsid w:val="0880226D"/>
    <w:rsid w:val="089F2BDE"/>
    <w:rsid w:val="08BB2505"/>
    <w:rsid w:val="099A07E1"/>
    <w:rsid w:val="0A053604"/>
    <w:rsid w:val="0A9B4FED"/>
    <w:rsid w:val="0B0C0A79"/>
    <w:rsid w:val="0B451F6A"/>
    <w:rsid w:val="0C023F0F"/>
    <w:rsid w:val="0C6F4C8D"/>
    <w:rsid w:val="0D0E0EB6"/>
    <w:rsid w:val="0DAE3F9B"/>
    <w:rsid w:val="0DD776C3"/>
    <w:rsid w:val="0DE142CB"/>
    <w:rsid w:val="0E2B304C"/>
    <w:rsid w:val="0E2D5254"/>
    <w:rsid w:val="0E6D6B2B"/>
    <w:rsid w:val="0FDC1CDC"/>
    <w:rsid w:val="10223C48"/>
    <w:rsid w:val="110D3AB1"/>
    <w:rsid w:val="12475EA9"/>
    <w:rsid w:val="133360BD"/>
    <w:rsid w:val="146E4633"/>
    <w:rsid w:val="150412EA"/>
    <w:rsid w:val="1534372C"/>
    <w:rsid w:val="168168E2"/>
    <w:rsid w:val="17013AE2"/>
    <w:rsid w:val="171438BA"/>
    <w:rsid w:val="17230955"/>
    <w:rsid w:val="17795811"/>
    <w:rsid w:val="182770BA"/>
    <w:rsid w:val="18863017"/>
    <w:rsid w:val="18AC6D73"/>
    <w:rsid w:val="198F4A2D"/>
    <w:rsid w:val="199F18A8"/>
    <w:rsid w:val="1A2F687C"/>
    <w:rsid w:val="1B0911B7"/>
    <w:rsid w:val="1B4716B4"/>
    <w:rsid w:val="1BB73608"/>
    <w:rsid w:val="1C08419D"/>
    <w:rsid w:val="1D4D5FFD"/>
    <w:rsid w:val="1F7A0970"/>
    <w:rsid w:val="1FC009DE"/>
    <w:rsid w:val="20305BFC"/>
    <w:rsid w:val="209E2C67"/>
    <w:rsid w:val="216F32CA"/>
    <w:rsid w:val="218E591C"/>
    <w:rsid w:val="21CD1190"/>
    <w:rsid w:val="22124112"/>
    <w:rsid w:val="22C64929"/>
    <w:rsid w:val="2345029C"/>
    <w:rsid w:val="23F57352"/>
    <w:rsid w:val="249A7996"/>
    <w:rsid w:val="24ED7B85"/>
    <w:rsid w:val="267E2359"/>
    <w:rsid w:val="26BC7CBC"/>
    <w:rsid w:val="26EE3BF3"/>
    <w:rsid w:val="2742395A"/>
    <w:rsid w:val="27447ED5"/>
    <w:rsid w:val="275F3A77"/>
    <w:rsid w:val="27DB7828"/>
    <w:rsid w:val="284F0253"/>
    <w:rsid w:val="28644870"/>
    <w:rsid w:val="286909E6"/>
    <w:rsid w:val="2AC86999"/>
    <w:rsid w:val="2AE949DF"/>
    <w:rsid w:val="2B3B474B"/>
    <w:rsid w:val="2B8D044E"/>
    <w:rsid w:val="2C016BB8"/>
    <w:rsid w:val="2C864792"/>
    <w:rsid w:val="2D77461B"/>
    <w:rsid w:val="2E400C5F"/>
    <w:rsid w:val="2E440A2C"/>
    <w:rsid w:val="2E5209E3"/>
    <w:rsid w:val="2EB01AFE"/>
    <w:rsid w:val="30592C7B"/>
    <w:rsid w:val="30D1119A"/>
    <w:rsid w:val="30D97FE5"/>
    <w:rsid w:val="30F12F4C"/>
    <w:rsid w:val="3112402E"/>
    <w:rsid w:val="313D3E38"/>
    <w:rsid w:val="3252231D"/>
    <w:rsid w:val="32611BF0"/>
    <w:rsid w:val="32B310BD"/>
    <w:rsid w:val="33A83294"/>
    <w:rsid w:val="34011E26"/>
    <w:rsid w:val="341B4D23"/>
    <w:rsid w:val="34996F43"/>
    <w:rsid w:val="359043C2"/>
    <w:rsid w:val="36A81FB2"/>
    <w:rsid w:val="3722158D"/>
    <w:rsid w:val="375E09FC"/>
    <w:rsid w:val="38525FA9"/>
    <w:rsid w:val="39003F1D"/>
    <w:rsid w:val="39276876"/>
    <w:rsid w:val="392B2930"/>
    <w:rsid w:val="393953B7"/>
    <w:rsid w:val="3980444F"/>
    <w:rsid w:val="3A2E3280"/>
    <w:rsid w:val="3AC853CC"/>
    <w:rsid w:val="3B48678D"/>
    <w:rsid w:val="3C582CD8"/>
    <w:rsid w:val="3E094E14"/>
    <w:rsid w:val="3E2546CD"/>
    <w:rsid w:val="3F4E6A98"/>
    <w:rsid w:val="40531C58"/>
    <w:rsid w:val="41192D98"/>
    <w:rsid w:val="413E5CD9"/>
    <w:rsid w:val="42E94B17"/>
    <w:rsid w:val="43425F9D"/>
    <w:rsid w:val="43F465D0"/>
    <w:rsid w:val="442A053D"/>
    <w:rsid w:val="44440739"/>
    <w:rsid w:val="44650D7A"/>
    <w:rsid w:val="446F65B8"/>
    <w:rsid w:val="44F057A6"/>
    <w:rsid w:val="45A95346"/>
    <w:rsid w:val="45BE3509"/>
    <w:rsid w:val="46416F41"/>
    <w:rsid w:val="4654187C"/>
    <w:rsid w:val="46C4203A"/>
    <w:rsid w:val="470E29AE"/>
    <w:rsid w:val="47DE346E"/>
    <w:rsid w:val="49CB0CCD"/>
    <w:rsid w:val="4AA610D6"/>
    <w:rsid w:val="4B0C055A"/>
    <w:rsid w:val="4B236903"/>
    <w:rsid w:val="4B3E2D9B"/>
    <w:rsid w:val="4C8B4A7C"/>
    <w:rsid w:val="4CFC368B"/>
    <w:rsid w:val="4D2C4CF9"/>
    <w:rsid w:val="4D5D73FA"/>
    <w:rsid w:val="4E7D412D"/>
    <w:rsid w:val="4F086AAF"/>
    <w:rsid w:val="5015661E"/>
    <w:rsid w:val="5069668A"/>
    <w:rsid w:val="50A83CB2"/>
    <w:rsid w:val="512B42F2"/>
    <w:rsid w:val="515209C0"/>
    <w:rsid w:val="51A21442"/>
    <w:rsid w:val="538E5DEC"/>
    <w:rsid w:val="543F0EC5"/>
    <w:rsid w:val="55BD77C3"/>
    <w:rsid w:val="56D076DF"/>
    <w:rsid w:val="56E34736"/>
    <w:rsid w:val="56FB15A3"/>
    <w:rsid w:val="572C3C94"/>
    <w:rsid w:val="57806BBC"/>
    <w:rsid w:val="5838588F"/>
    <w:rsid w:val="5889510A"/>
    <w:rsid w:val="58963DA7"/>
    <w:rsid w:val="592C3305"/>
    <w:rsid w:val="5A020F73"/>
    <w:rsid w:val="5A2C7551"/>
    <w:rsid w:val="5A400720"/>
    <w:rsid w:val="5CF4139A"/>
    <w:rsid w:val="5D693C9C"/>
    <w:rsid w:val="5DE973D6"/>
    <w:rsid w:val="5E8D2D21"/>
    <w:rsid w:val="5EBD1212"/>
    <w:rsid w:val="5F2971CD"/>
    <w:rsid w:val="5FCB4F59"/>
    <w:rsid w:val="623F329A"/>
    <w:rsid w:val="62695E27"/>
    <w:rsid w:val="628242DE"/>
    <w:rsid w:val="63535FFA"/>
    <w:rsid w:val="636127C3"/>
    <w:rsid w:val="6541100E"/>
    <w:rsid w:val="654C0BA8"/>
    <w:rsid w:val="664352EB"/>
    <w:rsid w:val="672079BD"/>
    <w:rsid w:val="675C299C"/>
    <w:rsid w:val="67B727F2"/>
    <w:rsid w:val="683E7EE4"/>
    <w:rsid w:val="687F4BB7"/>
    <w:rsid w:val="696610E4"/>
    <w:rsid w:val="697B0F29"/>
    <w:rsid w:val="6A83721D"/>
    <w:rsid w:val="6AB35168"/>
    <w:rsid w:val="6AE21101"/>
    <w:rsid w:val="6B4F3B9E"/>
    <w:rsid w:val="6BD63153"/>
    <w:rsid w:val="6C5B55DC"/>
    <w:rsid w:val="6C860F1A"/>
    <w:rsid w:val="6CAE03DD"/>
    <w:rsid w:val="6CE56E6B"/>
    <w:rsid w:val="6D032DAA"/>
    <w:rsid w:val="6E005A26"/>
    <w:rsid w:val="6E6329C5"/>
    <w:rsid w:val="6EFF345A"/>
    <w:rsid w:val="6F0E41D6"/>
    <w:rsid w:val="6FB4540B"/>
    <w:rsid w:val="6FE549DC"/>
    <w:rsid w:val="70C73255"/>
    <w:rsid w:val="71610FBE"/>
    <w:rsid w:val="722630D5"/>
    <w:rsid w:val="725008FF"/>
    <w:rsid w:val="72760778"/>
    <w:rsid w:val="743104E3"/>
    <w:rsid w:val="74320C3C"/>
    <w:rsid w:val="74513162"/>
    <w:rsid w:val="746638B2"/>
    <w:rsid w:val="75431AF8"/>
    <w:rsid w:val="757B75BC"/>
    <w:rsid w:val="76A665D3"/>
    <w:rsid w:val="78BD1F9D"/>
    <w:rsid w:val="79201CE1"/>
    <w:rsid w:val="79B14724"/>
    <w:rsid w:val="7B3E0A41"/>
    <w:rsid w:val="7BA21143"/>
    <w:rsid w:val="7C323980"/>
    <w:rsid w:val="7C5C38ED"/>
    <w:rsid w:val="7C696D53"/>
    <w:rsid w:val="7DAF30C1"/>
    <w:rsid w:val="7E9B78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qFormat="1" w:unhideWhenUsed="0" w:uiPriority="0" w:semiHidden="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5">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7">
    <w:name w:val="heading 3"/>
    <w:basedOn w:val="1"/>
    <w:next w:val="1"/>
    <w:link w:val="32"/>
    <w:qFormat/>
    <w:uiPriority w:val="99"/>
    <w:pPr>
      <w:keepNext/>
      <w:keepLines/>
      <w:widowControl/>
      <w:spacing w:before="260" w:after="260" w:line="413" w:lineRule="auto"/>
      <w:outlineLvl w:val="2"/>
    </w:pPr>
    <w:rPr>
      <w:rFonts w:ascii="Calibri" w:hAnsi="Calibri" w:cs="宋体"/>
      <w:b/>
      <w:sz w:val="32"/>
      <w:szCs w:val="22"/>
    </w:rPr>
  </w:style>
  <w:style w:type="paragraph" w:styleId="8">
    <w:name w:val="heading 4"/>
    <w:basedOn w:val="1"/>
    <w:next w:val="1"/>
    <w:link w:val="33"/>
    <w:qFormat/>
    <w:uiPriority w:val="99"/>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6"/>
    <w:qFormat/>
    <w:uiPriority w:val="99"/>
    <w:pPr>
      <w:spacing w:after="120"/>
    </w:pPr>
  </w:style>
  <w:style w:type="paragraph" w:styleId="3">
    <w:name w:val="Body Text First Indent"/>
    <w:basedOn w:val="2"/>
    <w:next w:val="4"/>
    <w:link w:val="40"/>
    <w:qFormat/>
    <w:uiPriority w:val="99"/>
    <w:pPr>
      <w:widowControl/>
      <w:ind w:firstLine="420" w:firstLineChars="100"/>
    </w:pPr>
    <w:rPr>
      <w:rFonts w:ascii="Calibri" w:hAnsi="Calibri" w:cs="宋体"/>
      <w:szCs w:val="22"/>
    </w:rPr>
  </w:style>
  <w:style w:type="paragraph" w:styleId="4">
    <w:name w:val="toc 6"/>
    <w:basedOn w:val="1"/>
    <w:next w:val="1"/>
    <w:qFormat/>
    <w:locked/>
    <w:uiPriority w:val="0"/>
    <w:pPr>
      <w:ind w:left="1200"/>
    </w:pPr>
    <w:rPr>
      <w:rFonts w:ascii="Calibri" w:cs="Calibri"/>
      <w:sz w:val="18"/>
      <w:szCs w:val="18"/>
    </w:rPr>
  </w:style>
  <w:style w:type="paragraph" w:styleId="10">
    <w:name w:val="Normal Indent"/>
    <w:basedOn w:val="1"/>
    <w:link w:val="50"/>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11">
    <w:name w:val="caption"/>
    <w:basedOn w:val="1"/>
    <w:next w:val="1"/>
    <w:qFormat/>
    <w:locked/>
    <w:uiPriority w:val="0"/>
    <w:pPr>
      <w:spacing w:before="152" w:after="160"/>
    </w:pPr>
    <w:rPr>
      <w:rFonts w:ascii="Arial" w:hAnsi="Arial" w:eastAsia="黑体" w:cs="Arial"/>
      <w:sz w:val="20"/>
      <w:szCs w:val="20"/>
    </w:rPr>
  </w:style>
  <w:style w:type="paragraph" w:styleId="12">
    <w:name w:val="index 5"/>
    <w:next w:val="1"/>
    <w:unhideWhenUsed/>
    <w:qFormat/>
    <w:uiPriority w:val="99"/>
    <w:pPr>
      <w:widowControl w:val="0"/>
      <w:ind w:left="800" w:leftChars="800"/>
      <w:jc w:val="both"/>
    </w:pPr>
    <w:rPr>
      <w:rFonts w:ascii="Calibri" w:hAnsi="Calibri" w:eastAsia="宋体" w:cs="黑体"/>
      <w:kern w:val="2"/>
      <w:sz w:val="21"/>
      <w:szCs w:val="24"/>
      <w:lang w:val="en-US" w:eastAsia="zh-CN" w:bidi="ar-SA"/>
    </w:rPr>
  </w:style>
  <w:style w:type="paragraph" w:styleId="13">
    <w:name w:val="Document Map"/>
    <w:basedOn w:val="1"/>
    <w:link w:val="34"/>
    <w:qFormat/>
    <w:uiPriority w:val="99"/>
    <w:rPr>
      <w:rFonts w:ascii="宋体"/>
      <w:sz w:val="18"/>
      <w:szCs w:val="18"/>
    </w:rPr>
  </w:style>
  <w:style w:type="paragraph" w:styleId="14">
    <w:name w:val="annotation text"/>
    <w:basedOn w:val="1"/>
    <w:link w:val="35"/>
    <w:qFormat/>
    <w:uiPriority w:val="99"/>
    <w:pPr>
      <w:jc w:val="left"/>
    </w:pPr>
  </w:style>
  <w:style w:type="paragraph" w:styleId="15">
    <w:name w:val="Body Text Indent"/>
    <w:basedOn w:val="1"/>
    <w:qFormat/>
    <w:uiPriority w:val="0"/>
    <w:pPr>
      <w:spacing w:after="120"/>
      <w:ind w:left="420" w:leftChars="200"/>
    </w:pPr>
    <w:rPr>
      <w:rFonts w:ascii="Times New Roman" w:hAnsi="Times New Roman" w:eastAsiaTheme="minorEastAsia" w:cstheme="minorBidi"/>
      <w:kern w:val="0"/>
      <w:sz w:val="20"/>
    </w:rPr>
  </w:style>
  <w:style w:type="paragraph" w:styleId="16">
    <w:name w:val="Plain Text"/>
    <w:basedOn w:val="1"/>
    <w:next w:val="17"/>
    <w:link w:val="52"/>
    <w:qFormat/>
    <w:uiPriority w:val="99"/>
    <w:pPr>
      <w:tabs>
        <w:tab w:val="left" w:pos="-105"/>
      </w:tabs>
      <w:spacing w:line="440" w:lineRule="exact"/>
      <w:ind w:right="-147" w:rightChars="-70"/>
      <w:outlineLvl w:val="2"/>
    </w:pPr>
    <w:rPr>
      <w:rFonts w:ascii="宋体" w:hAnsi="Courier New"/>
      <w:sz w:val="24"/>
      <w:szCs w:val="21"/>
    </w:rPr>
  </w:style>
  <w:style w:type="paragraph" w:customStyle="1" w:styleId="17">
    <w:name w:val="Default"/>
    <w:qFormat/>
    <w:uiPriority w:val="0"/>
    <w:pPr>
      <w:widowControl w:val="0"/>
      <w:autoSpaceDE w:val="0"/>
      <w:autoSpaceDN w:val="0"/>
      <w:adjustRightInd w:val="0"/>
      <w:spacing w:line="560" w:lineRule="exact"/>
      <w:jc w:val="both"/>
    </w:pPr>
    <w:rPr>
      <w:rFonts w:ascii="宋体" w:hAnsi="Calibri" w:eastAsia="宋体" w:cs="宋体"/>
      <w:color w:val="000000"/>
      <w:sz w:val="24"/>
      <w:szCs w:val="24"/>
      <w:lang w:val="en-US" w:eastAsia="zh-CN" w:bidi="ar-SA"/>
    </w:rPr>
  </w:style>
  <w:style w:type="paragraph" w:styleId="18">
    <w:name w:val="Balloon Text"/>
    <w:basedOn w:val="1"/>
    <w:link w:val="37"/>
    <w:qFormat/>
    <w:uiPriority w:val="99"/>
    <w:rPr>
      <w:sz w:val="18"/>
      <w:szCs w:val="18"/>
    </w:rPr>
  </w:style>
  <w:style w:type="paragraph" w:styleId="19">
    <w:name w:val="footer"/>
    <w:basedOn w:val="1"/>
    <w:link w:val="38"/>
    <w:qFormat/>
    <w:uiPriority w:val="99"/>
    <w:pPr>
      <w:tabs>
        <w:tab w:val="center" w:pos="4153"/>
        <w:tab w:val="right" w:pos="8306"/>
      </w:tabs>
      <w:snapToGrid w:val="0"/>
      <w:jc w:val="left"/>
    </w:pPr>
    <w:rPr>
      <w:sz w:val="18"/>
      <w:szCs w:val="18"/>
    </w:rPr>
  </w:style>
  <w:style w:type="paragraph" w:styleId="20">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22">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14"/>
    <w:next w:val="14"/>
    <w:link w:val="57"/>
    <w:semiHidden/>
    <w:qFormat/>
    <w:uiPriority w:val="99"/>
    <w:rPr>
      <w:b/>
      <w:bCs/>
    </w:rPr>
  </w:style>
  <w:style w:type="paragraph" w:styleId="24">
    <w:name w:val="Body Text First Indent 2"/>
    <w:basedOn w:val="15"/>
    <w:qFormat/>
    <w:uiPriority w:val="0"/>
    <w:pPr>
      <w:snapToGrid w:val="0"/>
      <w:spacing w:line="360" w:lineRule="auto"/>
      <w:ind w:left="0" w:leftChars="0" w:firstLine="420" w:firstLineChars="200"/>
    </w:pPr>
    <w:rPr>
      <w:rFonts w:ascii="Tahoma" w:hAnsi="Tahoma" w:eastAsia="宋体"/>
      <w:sz w:val="28"/>
    </w:rPr>
  </w:style>
  <w:style w:type="table" w:styleId="26">
    <w:name w:val="Table Grid"/>
    <w:basedOn w:val="25"/>
    <w:qFormat/>
    <w:uiPriority w:val="5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qFormat/>
    <w:uiPriority w:val="99"/>
    <w:rPr>
      <w:rFonts w:cs="Times New Roman"/>
      <w:color w:val="0000FF"/>
      <w:u w:val="single"/>
    </w:rPr>
  </w:style>
  <w:style w:type="character" w:styleId="29">
    <w:name w:val="annotation reference"/>
    <w:basedOn w:val="27"/>
    <w:qFormat/>
    <w:uiPriority w:val="99"/>
    <w:rPr>
      <w:rFonts w:cs="Times New Roman"/>
      <w:sz w:val="21"/>
      <w:szCs w:val="21"/>
    </w:rPr>
  </w:style>
  <w:style w:type="character" w:customStyle="1" w:styleId="30">
    <w:name w:val="标题 1 字符"/>
    <w:basedOn w:val="27"/>
    <w:link w:val="5"/>
    <w:qFormat/>
    <w:locked/>
    <w:uiPriority w:val="99"/>
    <w:rPr>
      <w:rFonts w:ascii="Times New Roman" w:hAnsi="Times New Roman" w:eastAsia="宋体" w:cs="Times New Roman"/>
      <w:b/>
      <w:bCs/>
      <w:kern w:val="44"/>
      <w:sz w:val="44"/>
      <w:szCs w:val="44"/>
    </w:rPr>
  </w:style>
  <w:style w:type="character" w:customStyle="1" w:styleId="31">
    <w:name w:val="标题 2 字符"/>
    <w:basedOn w:val="27"/>
    <w:link w:val="6"/>
    <w:qFormat/>
    <w:locked/>
    <w:uiPriority w:val="99"/>
    <w:rPr>
      <w:rFonts w:ascii="Cambria" w:hAnsi="Cambria" w:eastAsia="宋体" w:cs="Times New Roman"/>
      <w:b/>
      <w:bCs/>
      <w:kern w:val="2"/>
      <w:sz w:val="32"/>
      <w:szCs w:val="32"/>
    </w:rPr>
  </w:style>
  <w:style w:type="character" w:customStyle="1" w:styleId="32">
    <w:name w:val="标题 3 字符"/>
    <w:basedOn w:val="27"/>
    <w:link w:val="7"/>
    <w:qFormat/>
    <w:locked/>
    <w:uiPriority w:val="99"/>
    <w:rPr>
      <w:rFonts w:eastAsia="宋体" w:cs="Times New Roman"/>
      <w:b/>
      <w:sz w:val="32"/>
    </w:rPr>
  </w:style>
  <w:style w:type="character" w:customStyle="1" w:styleId="33">
    <w:name w:val="标题 4 字符1"/>
    <w:basedOn w:val="27"/>
    <w:link w:val="8"/>
    <w:qFormat/>
    <w:locked/>
    <w:uiPriority w:val="99"/>
    <w:rPr>
      <w:rFonts w:ascii="Arial" w:hAnsi="Arial" w:eastAsia="黑体" w:cs="Times New Roman"/>
      <w:b/>
      <w:bCs/>
      <w:kern w:val="2"/>
      <w:sz w:val="28"/>
      <w:szCs w:val="28"/>
    </w:rPr>
  </w:style>
  <w:style w:type="character" w:customStyle="1" w:styleId="34">
    <w:name w:val="文档结构图 字符"/>
    <w:basedOn w:val="27"/>
    <w:link w:val="13"/>
    <w:qFormat/>
    <w:locked/>
    <w:uiPriority w:val="99"/>
    <w:rPr>
      <w:rFonts w:ascii="宋体" w:hAnsi="Times New Roman" w:eastAsia="宋体" w:cs="Times New Roman"/>
      <w:kern w:val="2"/>
      <w:sz w:val="18"/>
      <w:szCs w:val="18"/>
    </w:rPr>
  </w:style>
  <w:style w:type="character" w:customStyle="1" w:styleId="35">
    <w:name w:val="批注文字 字符"/>
    <w:basedOn w:val="27"/>
    <w:link w:val="14"/>
    <w:qFormat/>
    <w:locked/>
    <w:uiPriority w:val="99"/>
    <w:rPr>
      <w:rFonts w:ascii="Times New Roman" w:hAnsi="Times New Roman" w:cs="Times New Roman"/>
      <w:kern w:val="2"/>
      <w:sz w:val="21"/>
    </w:rPr>
  </w:style>
  <w:style w:type="character" w:customStyle="1" w:styleId="36">
    <w:name w:val="正文文本 字符"/>
    <w:basedOn w:val="27"/>
    <w:link w:val="2"/>
    <w:qFormat/>
    <w:locked/>
    <w:uiPriority w:val="99"/>
    <w:rPr>
      <w:rFonts w:ascii="Times New Roman" w:hAnsi="Times New Roman" w:eastAsia="宋体" w:cs="Times New Roman"/>
      <w:sz w:val="20"/>
      <w:szCs w:val="20"/>
    </w:rPr>
  </w:style>
  <w:style w:type="character" w:customStyle="1" w:styleId="37">
    <w:name w:val="批注框文本 字符"/>
    <w:basedOn w:val="27"/>
    <w:link w:val="18"/>
    <w:qFormat/>
    <w:locked/>
    <w:uiPriority w:val="99"/>
    <w:rPr>
      <w:rFonts w:ascii="Times New Roman" w:hAnsi="Times New Roman" w:eastAsia="宋体" w:cs="Times New Roman"/>
      <w:kern w:val="2"/>
      <w:sz w:val="18"/>
      <w:szCs w:val="18"/>
    </w:rPr>
  </w:style>
  <w:style w:type="character" w:customStyle="1" w:styleId="38">
    <w:name w:val="页脚 字符"/>
    <w:basedOn w:val="27"/>
    <w:link w:val="19"/>
    <w:qFormat/>
    <w:locked/>
    <w:uiPriority w:val="99"/>
    <w:rPr>
      <w:rFonts w:ascii="Times New Roman" w:hAnsi="Times New Roman" w:eastAsia="宋体" w:cs="Times New Roman"/>
      <w:sz w:val="18"/>
      <w:szCs w:val="18"/>
    </w:rPr>
  </w:style>
  <w:style w:type="character" w:customStyle="1" w:styleId="39">
    <w:name w:val="页眉 字符"/>
    <w:basedOn w:val="27"/>
    <w:link w:val="20"/>
    <w:qFormat/>
    <w:locked/>
    <w:uiPriority w:val="99"/>
    <w:rPr>
      <w:rFonts w:ascii="Times New Roman" w:hAnsi="Times New Roman" w:eastAsia="宋体" w:cs="Times New Roman"/>
      <w:sz w:val="18"/>
      <w:szCs w:val="18"/>
    </w:rPr>
  </w:style>
  <w:style w:type="character" w:customStyle="1" w:styleId="40">
    <w:name w:val="正文首行缩进 字符"/>
    <w:basedOn w:val="36"/>
    <w:link w:val="3"/>
    <w:qFormat/>
    <w:locked/>
    <w:uiPriority w:val="99"/>
    <w:rPr>
      <w:rFonts w:ascii="Times New Roman" w:hAnsi="Times New Roman" w:eastAsia="宋体" w:cs="Times New Roman"/>
      <w:sz w:val="20"/>
      <w:szCs w:val="20"/>
    </w:rPr>
  </w:style>
  <w:style w:type="character" w:customStyle="1" w:styleId="41">
    <w:name w:val="正文缩进2格 Char"/>
    <w:link w:val="42"/>
    <w:qFormat/>
    <w:locked/>
    <w:uiPriority w:val="99"/>
    <w:rPr>
      <w:rFonts w:ascii="仿宋_GB2312" w:hAnsi="宋体" w:eastAsia="仿宋_GB2312"/>
      <w:sz w:val="31"/>
    </w:rPr>
  </w:style>
  <w:style w:type="paragraph" w:customStyle="1" w:styleId="42">
    <w:name w:val="正文缩进2格"/>
    <w:basedOn w:val="1"/>
    <w:link w:val="41"/>
    <w:qFormat/>
    <w:uiPriority w:val="99"/>
    <w:pPr>
      <w:spacing w:line="600" w:lineRule="exact"/>
      <w:ind w:firstLine="639" w:firstLineChars="206"/>
    </w:pPr>
    <w:rPr>
      <w:rFonts w:ascii="仿宋_GB2312" w:hAnsi="宋体" w:eastAsia="仿宋_GB2312"/>
      <w:kern w:val="0"/>
      <w:sz w:val="31"/>
      <w:szCs w:val="31"/>
    </w:rPr>
  </w:style>
  <w:style w:type="paragraph" w:customStyle="1" w:styleId="43">
    <w:name w:val="列出段落1"/>
    <w:basedOn w:val="1"/>
    <w:qFormat/>
    <w:uiPriority w:val="99"/>
    <w:pPr>
      <w:ind w:firstLine="420" w:firstLineChars="200"/>
    </w:pPr>
  </w:style>
  <w:style w:type="paragraph" w:customStyle="1" w:styleId="44">
    <w:name w:val="列出段落2"/>
    <w:basedOn w:val="1"/>
    <w:qFormat/>
    <w:uiPriority w:val="99"/>
    <w:pPr>
      <w:ind w:firstLine="420" w:firstLineChars="200"/>
    </w:pPr>
  </w:style>
  <w:style w:type="paragraph" w:styleId="45">
    <w:name w:val="List Paragraph"/>
    <w:basedOn w:val="1"/>
    <w:qFormat/>
    <w:uiPriority w:val="99"/>
    <w:pPr>
      <w:ind w:firstLine="420" w:firstLineChars="200"/>
    </w:pPr>
  </w:style>
  <w:style w:type="character" w:customStyle="1" w:styleId="46">
    <w:name w:val="fontstyle01"/>
    <w:basedOn w:val="27"/>
    <w:qFormat/>
    <w:uiPriority w:val="99"/>
    <w:rPr>
      <w:rFonts w:ascii="仿宋" w:hAnsi="仿宋" w:eastAsia="仿宋" w:cs="Times New Roman"/>
      <w:color w:val="000000"/>
      <w:sz w:val="28"/>
      <w:szCs w:val="28"/>
    </w:rPr>
  </w:style>
  <w:style w:type="character" w:customStyle="1" w:styleId="47">
    <w:name w:val="！正文 Char"/>
    <w:link w:val="48"/>
    <w:qFormat/>
    <w:locked/>
    <w:uiPriority w:val="99"/>
    <w:rPr>
      <w:rFonts w:ascii="Arial" w:hAnsi="Arial"/>
      <w:sz w:val="24"/>
    </w:rPr>
  </w:style>
  <w:style w:type="paragraph" w:customStyle="1" w:styleId="48">
    <w:name w:val="！正文"/>
    <w:basedOn w:val="1"/>
    <w:link w:val="47"/>
    <w:qFormat/>
    <w:uiPriority w:val="99"/>
    <w:pPr>
      <w:spacing w:line="360" w:lineRule="auto"/>
      <w:ind w:firstLine="200" w:firstLineChars="200"/>
    </w:pPr>
    <w:rPr>
      <w:rFonts w:ascii="Arial" w:hAnsi="Arial" w:eastAsia="等线"/>
      <w:kern w:val="0"/>
      <w:sz w:val="24"/>
      <w:szCs w:val="24"/>
    </w:rPr>
  </w:style>
  <w:style w:type="paragraph" w:customStyle="1" w:styleId="49">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0">
    <w:name w:val="正文缩进 字符"/>
    <w:link w:val="10"/>
    <w:qFormat/>
    <w:locked/>
    <w:uiPriority w:val="99"/>
    <w:rPr>
      <w:sz w:val="24"/>
    </w:rPr>
  </w:style>
  <w:style w:type="paragraph" w:customStyle="1" w:styleId="51">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52">
    <w:name w:val="纯文本 字符"/>
    <w:basedOn w:val="27"/>
    <w:link w:val="16"/>
    <w:qFormat/>
    <w:locked/>
    <w:uiPriority w:val="99"/>
    <w:rPr>
      <w:rFonts w:ascii="宋体" w:hAnsi="Courier New" w:eastAsia="宋体" w:cs="Times New Roman"/>
      <w:kern w:val="2"/>
      <w:sz w:val="21"/>
      <w:szCs w:val="21"/>
    </w:rPr>
  </w:style>
  <w:style w:type="character" w:customStyle="1" w:styleId="53">
    <w:name w:val="未处理的提及1"/>
    <w:basedOn w:val="27"/>
    <w:semiHidden/>
    <w:qFormat/>
    <w:uiPriority w:val="99"/>
    <w:rPr>
      <w:rFonts w:cs="Times New Roman"/>
      <w:color w:val="605E5C"/>
      <w:shd w:val="clear" w:color="auto" w:fill="E1DFDD"/>
    </w:rPr>
  </w:style>
  <w:style w:type="paragraph" w:customStyle="1" w:styleId="54">
    <w:name w:val="样式"/>
    <w:basedOn w:val="1"/>
    <w:next w:val="45"/>
    <w:qFormat/>
    <w:uiPriority w:val="99"/>
    <w:pPr>
      <w:ind w:firstLine="420" w:firstLineChars="200"/>
    </w:pPr>
    <w:rPr>
      <w:rFonts w:ascii="Calibri" w:hAnsi="Calibri"/>
      <w:szCs w:val="22"/>
    </w:rPr>
  </w:style>
  <w:style w:type="character" w:customStyle="1" w:styleId="55">
    <w:name w:val="Body Text Indent 2 Char Char"/>
    <w:link w:val="56"/>
    <w:qFormat/>
    <w:locked/>
    <w:uiPriority w:val="99"/>
  </w:style>
  <w:style w:type="paragraph" w:customStyle="1" w:styleId="56">
    <w:name w:val="正文文本缩进 21"/>
    <w:basedOn w:val="1"/>
    <w:link w:val="55"/>
    <w:qFormat/>
    <w:uiPriority w:val="99"/>
    <w:pPr>
      <w:adjustRightInd w:val="0"/>
      <w:spacing w:line="480" w:lineRule="auto"/>
      <w:ind w:firstLine="540"/>
    </w:pPr>
    <w:rPr>
      <w:rFonts w:ascii="Calibri" w:hAnsi="Calibri" w:eastAsia="等线"/>
      <w:kern w:val="0"/>
      <w:sz w:val="20"/>
    </w:rPr>
  </w:style>
  <w:style w:type="character" w:customStyle="1" w:styleId="57">
    <w:name w:val="批注主题 字符"/>
    <w:basedOn w:val="35"/>
    <w:link w:val="23"/>
    <w:semiHidden/>
    <w:qFormat/>
    <w:locked/>
    <w:uiPriority w:val="99"/>
    <w:rPr>
      <w:rFonts w:ascii="Times New Roman" w:hAnsi="Times New Roman" w:eastAsia="宋体" w:cs="Times New Roman"/>
      <w:b/>
      <w:bCs/>
      <w:kern w:val="2"/>
      <w:sz w:val="21"/>
    </w:rPr>
  </w:style>
  <w:style w:type="character" w:customStyle="1" w:styleId="58">
    <w:name w:val="标题 4 字符"/>
    <w:basedOn w:val="27"/>
    <w:semiHidden/>
    <w:qFormat/>
    <w:uiPriority w:val="99"/>
    <w:rPr>
      <w:rFonts w:ascii="Cambria" w:hAnsi="Cambria" w:eastAsia="宋体" w:cs="Times New Roman"/>
      <w:b/>
      <w:bCs/>
      <w:kern w:val="2"/>
      <w:sz w:val="28"/>
      <w:szCs w:val="28"/>
    </w:rPr>
  </w:style>
  <w:style w:type="paragraph" w:customStyle="1" w:styleId="59">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0">
    <w:name w:val="致远要点"/>
    <w:basedOn w:val="45"/>
    <w:link w:val="61"/>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1">
    <w:name w:val="致远要点 字符"/>
    <w:basedOn w:val="27"/>
    <w:link w:val="60"/>
    <w:qFormat/>
    <w:locked/>
    <w:uiPriority w:val="99"/>
    <w:rPr>
      <w:rFonts w:ascii="黑体" w:hAnsi="黑体" w:eastAsia="黑体" w:cs="宋体"/>
      <w:kern w:val="2"/>
      <w:sz w:val="22"/>
      <w:szCs w:val="22"/>
    </w:rPr>
  </w:style>
  <w:style w:type="paragraph" w:customStyle="1" w:styleId="62">
    <w:name w:val="SANGFOR_6_正文"/>
    <w:basedOn w:val="1"/>
    <w:qFormat/>
    <w:uiPriority w:val="99"/>
    <w:pPr>
      <w:spacing w:line="360" w:lineRule="auto"/>
    </w:pPr>
    <w:rPr>
      <w:szCs w:val="24"/>
    </w:rPr>
  </w:style>
  <w:style w:type="character" w:customStyle="1" w:styleId="63">
    <w:name w:val="font51"/>
    <w:basedOn w:val="27"/>
    <w:qFormat/>
    <w:uiPriority w:val="0"/>
    <w:rPr>
      <w:rFonts w:hint="default" w:ascii="Times New Roman" w:hAnsi="Times New Roman" w:cs="Times New Roman"/>
      <w:b/>
      <w:bCs/>
      <w:color w:val="000000"/>
      <w:sz w:val="22"/>
      <w:szCs w:val="22"/>
      <w:u w:val="none"/>
    </w:rPr>
  </w:style>
  <w:style w:type="character" w:customStyle="1" w:styleId="64">
    <w:name w:val="font21"/>
    <w:basedOn w:val="27"/>
    <w:qFormat/>
    <w:uiPriority w:val="0"/>
    <w:rPr>
      <w:rFonts w:hint="eastAsia" w:ascii="宋体" w:hAnsi="宋体" w:eastAsia="宋体" w:cs="宋体"/>
      <w:color w:val="000000"/>
      <w:sz w:val="21"/>
      <w:szCs w:val="21"/>
      <w:u w:val="none"/>
    </w:rPr>
  </w:style>
  <w:style w:type="character" w:customStyle="1" w:styleId="65">
    <w:name w:val="font41"/>
    <w:basedOn w:val="27"/>
    <w:qFormat/>
    <w:uiPriority w:val="0"/>
    <w:rPr>
      <w:rFonts w:hint="eastAsia" w:ascii="宋体" w:hAnsi="宋体" w:eastAsia="宋体" w:cs="宋体"/>
      <w:b/>
      <w:bCs/>
      <w:color w:val="000000"/>
      <w:sz w:val="21"/>
      <w:szCs w:val="21"/>
      <w:u w:val="none"/>
    </w:rPr>
  </w:style>
  <w:style w:type="paragraph" w:customStyle="1" w:styleId="66">
    <w:name w:val="_Style 3"/>
    <w:basedOn w:val="1"/>
    <w:qFormat/>
    <w:uiPriority w:val="0"/>
    <w:pPr>
      <w:adjustRightInd/>
      <w:ind w:firstLine="420" w:firstLineChars="200"/>
      <w:jc w:val="both"/>
    </w:pPr>
    <w:rPr>
      <w:rFonts w:ascii="Times New Roman" w:hAnsi="Times New Roman" w:cs="Times New Roman"/>
      <w:kern w:val="2"/>
      <w:sz w:val="21"/>
    </w:rPr>
  </w:style>
  <w:style w:type="character" w:customStyle="1" w:styleId="67">
    <w:name w:val="font31"/>
    <w:basedOn w:val="27"/>
    <w:qFormat/>
    <w:uiPriority w:val="0"/>
    <w:rPr>
      <w:rFonts w:hint="default" w:ascii="Times New Roman" w:hAnsi="Times New Roman" w:cs="Times New Roman"/>
      <w:color w:val="000000"/>
      <w:sz w:val="24"/>
      <w:szCs w:val="24"/>
      <w:u w:val="none"/>
    </w:rPr>
  </w:style>
  <w:style w:type="paragraph" w:customStyle="1" w:styleId="68">
    <w:name w:val="表内"/>
    <w:basedOn w:val="1"/>
    <w:qFormat/>
    <w:uiPriority w:val="0"/>
    <w:pPr>
      <w:spacing w:beforeLines="10" w:afterLines="10"/>
      <w:ind w:firstLine="0" w:firstLineChars="0"/>
    </w:pPr>
    <w:rPr>
      <w:sz w:val="22"/>
      <w:szCs w:val="24"/>
    </w:rPr>
  </w:style>
  <w:style w:type="paragraph" w:customStyle="1" w:styleId="69">
    <w:name w:val="首行缩进"/>
    <w:basedOn w:val="1"/>
    <w:autoRedefine/>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30</Pages>
  <Words>755</Words>
  <Characters>799</Characters>
  <Lines>55</Lines>
  <Paragraphs>15</Paragraphs>
  <TotalTime>49</TotalTime>
  <ScaleCrop>false</ScaleCrop>
  <LinksUpToDate>false</LinksUpToDate>
  <CharactersWithSpaces>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2021-06-30T10:33:00Z</dcterms:created>
  <dc:creator>Administrator</dc:creator>
  <cp:lastModifiedBy> Tang</cp:lastModifiedBy>
  <cp:lastPrinted>2026-03-17T08:30:00Z</cp:lastPrinted>
  <dcterms:modified xsi:type="dcterms:W3CDTF">2026-05-13T01:45:06Z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C8D83661F4C64E4097CC0F45BBE41E08</vt:lpwstr>
  </property>
  <property fmtid="{D5CDD505-2E9C-101B-9397-08002B2CF9AE}" pid="4" name="KSOTemplateDocerSaveRecord">
    <vt:lpwstr>eyJoZGlkIjoiMjA0NzA0NzM0NzFiNjU2ZWZlYTdiNTgzNWMzYjAxNTQiLCJ1c2VySWQiOiIxNjE1MzkzMzQ2In0=</vt:lpwstr>
  </property>
</Properties>
</file>