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6409B">
      <w:pPr>
        <w:adjustRightInd w:val="0"/>
        <w:snapToGrid w:val="0"/>
        <w:spacing w:before="120" w:after="120" w:line="276" w:lineRule="auto"/>
        <w:jc w:val="center"/>
        <w:rPr>
          <w:rFonts w:hint="eastAsia" w:ascii="宋体" w:hAnsi="宋体" w:eastAsia="宋体" w:cs="宋体"/>
          <w:b/>
          <w:bCs/>
          <w:color w:val="000000"/>
          <w:sz w:val="30"/>
          <w:szCs w:val="30"/>
          <w:highlight w:val="none"/>
        </w:rPr>
      </w:pPr>
      <w:r>
        <w:rPr>
          <w:rFonts w:hint="eastAsia" w:ascii="宋体" w:hAnsi="宋体" w:eastAsia="宋体" w:cs="宋体"/>
          <w:b/>
          <w:bCs/>
          <w:color w:val="000000"/>
          <w:sz w:val="30"/>
          <w:szCs w:val="30"/>
          <w:highlight w:val="none"/>
          <w:lang w:eastAsia="zh-CN"/>
        </w:rPr>
        <w:t>询价</w:t>
      </w:r>
      <w:r>
        <w:rPr>
          <w:rFonts w:hint="eastAsia" w:ascii="宋体" w:hAnsi="宋体" w:eastAsia="宋体" w:cs="宋体"/>
          <w:b/>
          <w:bCs/>
          <w:color w:val="000000"/>
          <w:sz w:val="30"/>
          <w:szCs w:val="30"/>
          <w:highlight w:val="none"/>
        </w:rPr>
        <w:t>文件</w:t>
      </w:r>
    </w:p>
    <w:p w14:paraId="0D0FAD54">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东莞市大学创新城建设发展</w:t>
      </w:r>
      <w:r>
        <w:rPr>
          <w:rFonts w:hint="eastAsia" w:ascii="宋体" w:hAnsi="宋体" w:eastAsia="宋体" w:cs="宋体"/>
          <w:color w:val="000000"/>
          <w:sz w:val="24"/>
          <w:szCs w:val="24"/>
          <w:highlight w:val="none"/>
        </w:rPr>
        <w:t>有限公司</w:t>
      </w:r>
      <w:r>
        <w:rPr>
          <w:rFonts w:hint="eastAsia" w:ascii="宋体" w:hAnsi="宋体" w:eastAsia="宋体" w:cs="宋体"/>
          <w:color w:val="000000"/>
          <w:sz w:val="24"/>
          <w:szCs w:val="24"/>
          <w:highlight w:val="none"/>
          <w:lang w:val="en-US" w:eastAsia="zh-CN"/>
        </w:rPr>
        <w:t>拟选择造价咨询服务机构完成</w:t>
      </w:r>
      <w:r>
        <w:rPr>
          <w:rFonts w:hint="eastAsia" w:ascii="宋体" w:hAnsi="宋体" w:eastAsia="宋体" w:cs="宋体"/>
          <w:color w:val="000000"/>
          <w:sz w:val="24"/>
          <w:szCs w:val="24"/>
          <w:highlight w:val="none"/>
          <w:u w:val="single"/>
          <w:lang w:val="en-US" w:eastAsia="zh-CN"/>
        </w:rPr>
        <w:t>松山湖国际创新创业社区2026-2027年度造价咨询服务工作</w:t>
      </w:r>
      <w:r>
        <w:rPr>
          <w:rFonts w:hint="eastAsia" w:ascii="宋体" w:hAnsi="宋体" w:eastAsia="宋体" w:cs="宋体"/>
          <w:color w:val="000000"/>
          <w:sz w:val="24"/>
          <w:szCs w:val="24"/>
          <w:highlight w:val="none"/>
          <w:lang w:val="en-US" w:eastAsia="zh-CN"/>
        </w:rPr>
        <w:t>，诚邀具有相关资质的单位前来参加本次项目的询报价活动，现将有关事项说明如下：</w:t>
      </w:r>
      <w:bookmarkStart w:id="16" w:name="_GoBack"/>
      <w:bookmarkEnd w:id="16"/>
    </w:p>
    <w:p w14:paraId="022A61B5">
      <w:pPr>
        <w:spacing w:line="600" w:lineRule="exact"/>
        <w:ind w:firstLine="482" w:firstLineChars="20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一、项目基本情况及内容</w:t>
      </w:r>
    </w:p>
    <w:p w14:paraId="16E5664F">
      <w:pPr>
        <w:spacing w:line="6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（一）采购项目名称：</w:t>
      </w:r>
      <w:r>
        <w:rPr>
          <w:rFonts w:hint="eastAsia" w:ascii="宋体" w:hAnsi="宋体" w:eastAsia="宋体" w:cs="宋体"/>
          <w:color w:val="000000"/>
          <w:sz w:val="24"/>
          <w:szCs w:val="24"/>
          <w:highlight w:val="none"/>
          <w:u w:val="single"/>
          <w:lang w:val="en-US" w:eastAsia="zh-CN"/>
        </w:rPr>
        <w:t>松山湖国际创新创业社区2026-2027年度造价咨询服务项目</w:t>
      </w:r>
      <w:r>
        <w:rPr>
          <w:rFonts w:hint="eastAsia" w:ascii="宋体" w:hAnsi="宋体" w:eastAsia="宋体" w:cs="宋体"/>
          <w:color w:val="000000"/>
          <w:sz w:val="24"/>
          <w:szCs w:val="24"/>
          <w:highlight w:val="none"/>
          <w:lang w:val="en-US" w:eastAsia="zh-CN"/>
        </w:rPr>
        <w:t>；</w:t>
      </w:r>
    </w:p>
    <w:p w14:paraId="1E4F6908">
      <w:pPr>
        <w:spacing w:line="6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（二）预算金额（元）：本项目为</w:t>
      </w:r>
      <w:r>
        <w:rPr>
          <w:rFonts w:hint="eastAsia" w:ascii="宋体" w:hAnsi="宋体" w:eastAsia="宋体" w:cs="宋体"/>
          <w:strike w:val="0"/>
          <w:dstrike w:val="0"/>
          <w:color w:val="auto"/>
          <w:sz w:val="24"/>
          <w:szCs w:val="24"/>
          <w:highlight w:val="none"/>
          <w:u w:val="none"/>
          <w:shd w:val="clear" w:fill="auto"/>
          <w:lang w:val="en-US" w:eastAsia="zh-CN"/>
        </w:rPr>
        <w:t>资格</w:t>
      </w:r>
      <w:r>
        <w:rPr>
          <w:rFonts w:hint="eastAsia" w:ascii="宋体" w:hAnsi="宋体" w:eastAsia="宋体" w:cs="宋体"/>
          <w:color w:val="000000"/>
          <w:sz w:val="24"/>
          <w:szCs w:val="24"/>
          <w:highlight w:val="none"/>
          <w:lang w:val="en-US" w:eastAsia="zh-CN"/>
        </w:rPr>
        <w:t>采购，无具体预算金额；</w:t>
      </w:r>
    </w:p>
    <w:p w14:paraId="4270D46F">
      <w:pPr>
        <w:spacing w:line="6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（三）项目</w:t>
      </w:r>
      <w:r>
        <w:rPr>
          <w:rFonts w:hint="eastAsia" w:ascii="宋体" w:hAnsi="宋体" w:cs="宋体"/>
          <w:color w:val="000000"/>
          <w:sz w:val="24"/>
          <w:szCs w:val="24"/>
          <w:highlight w:val="none"/>
          <w:lang w:val="en-US" w:eastAsia="zh-CN"/>
        </w:rPr>
        <w:t>内容：</w:t>
      </w:r>
      <w:r>
        <w:rPr>
          <w:rFonts w:hint="eastAsia" w:ascii="宋体" w:hAnsi="宋体" w:eastAsia="宋体" w:cs="宋体"/>
          <w:color w:val="000000"/>
          <w:sz w:val="24"/>
          <w:szCs w:val="24"/>
          <w:highlight w:val="none"/>
          <w:u w:val="none"/>
          <w:lang w:val="en-US" w:eastAsia="zh-CN"/>
        </w:rPr>
        <w:t>社区2026-2027年度造价咨询服务项目</w:t>
      </w:r>
      <w:r>
        <w:rPr>
          <w:rFonts w:hint="eastAsia" w:ascii="宋体" w:hAnsi="宋体" w:eastAsia="宋体" w:cs="宋体"/>
          <w:b/>
          <w:bCs/>
          <w:color w:val="000000"/>
          <w:sz w:val="24"/>
          <w:szCs w:val="24"/>
          <w:highlight w:val="none"/>
          <w:u w:val="none"/>
          <w:lang w:val="en-US" w:eastAsia="zh-CN"/>
        </w:rPr>
        <w:t>（含预算编制、结算审核</w:t>
      </w:r>
      <w:r>
        <w:rPr>
          <w:rFonts w:hint="eastAsia" w:ascii="宋体" w:hAnsi="宋体" w:cs="宋体"/>
          <w:b/>
          <w:bCs/>
          <w:color w:val="000000"/>
          <w:sz w:val="24"/>
          <w:szCs w:val="24"/>
          <w:highlight w:val="none"/>
          <w:u w:val="none"/>
          <w:lang w:val="en-US" w:eastAsia="zh-CN"/>
        </w:rPr>
        <w:t>等</w:t>
      </w:r>
      <w:r>
        <w:rPr>
          <w:rFonts w:hint="eastAsia" w:ascii="宋体" w:hAnsi="宋体" w:eastAsia="宋体" w:cs="宋体"/>
          <w:b/>
          <w:bCs/>
          <w:color w:val="000000"/>
          <w:sz w:val="24"/>
          <w:szCs w:val="24"/>
          <w:highlight w:val="none"/>
          <w:u w:val="none"/>
          <w:lang w:val="en-US" w:eastAsia="zh-CN"/>
        </w:rPr>
        <w:t>工作）</w:t>
      </w:r>
      <w:r>
        <w:rPr>
          <w:rFonts w:hint="eastAsia" w:ascii="宋体" w:hAnsi="宋体" w:cs="宋体"/>
          <w:b/>
          <w:bCs/>
          <w:color w:val="000000"/>
          <w:sz w:val="24"/>
          <w:szCs w:val="24"/>
          <w:highlight w:val="none"/>
          <w:u w:val="none"/>
          <w:lang w:val="en-US" w:eastAsia="zh-CN"/>
        </w:rPr>
        <w:t>；</w:t>
      </w:r>
      <w:r>
        <w:rPr>
          <w:rFonts w:hint="eastAsia" w:ascii="宋体" w:hAnsi="宋体" w:cs="宋体"/>
          <w:b w:val="0"/>
          <w:bCs w:val="0"/>
          <w:color w:val="000000"/>
          <w:sz w:val="24"/>
          <w:szCs w:val="24"/>
          <w:highlight w:val="none"/>
          <w:u w:val="none"/>
          <w:lang w:val="en-US" w:eastAsia="zh-CN"/>
        </w:rPr>
        <w:t>采购服务单位数量：</w:t>
      </w:r>
      <w:r>
        <w:rPr>
          <w:rFonts w:hint="eastAsia" w:ascii="宋体" w:hAnsi="宋体" w:cs="宋体"/>
          <w:b/>
          <w:bCs/>
          <w:color w:val="000000"/>
          <w:sz w:val="24"/>
          <w:szCs w:val="24"/>
          <w:highlight w:val="none"/>
          <w:u w:val="none"/>
          <w:lang w:val="en-US" w:eastAsia="zh-CN"/>
        </w:rPr>
        <w:t>1家；</w:t>
      </w:r>
    </w:p>
    <w:p w14:paraId="2050D907">
      <w:pPr>
        <w:spacing w:line="6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（四）服务期为：</w:t>
      </w:r>
      <w:r>
        <w:rPr>
          <w:rFonts w:hint="eastAsia" w:ascii="宋体" w:hAnsi="宋体" w:eastAsia="宋体" w:cs="宋体"/>
          <w:color w:val="000000"/>
          <w:sz w:val="24"/>
          <w:szCs w:val="24"/>
          <w:highlight w:val="none"/>
          <w:u w:val="single"/>
          <w:lang w:val="en-US" w:eastAsia="zh-CN"/>
        </w:rPr>
        <w:t>自合同签订之日起两年；</w:t>
      </w:r>
    </w:p>
    <w:p w14:paraId="70755E13">
      <w:pPr>
        <w:adjustRightInd w:val="0"/>
        <w:snapToGrid w:val="0"/>
        <w:spacing w:line="600" w:lineRule="exact"/>
        <w:ind w:firstLine="482" w:firstLineChars="200"/>
        <w:outlineLvl w:val="1"/>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二、项目发布</w:t>
      </w:r>
    </w:p>
    <w:p w14:paraId="13FA25F3">
      <w:pPr>
        <w:adjustRightInd w:val="0"/>
        <w:snapToGrid w:val="0"/>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本采购项目信息在</w:t>
      </w:r>
      <w:r>
        <w:rPr>
          <w:rFonts w:hint="eastAsia" w:ascii="宋体" w:hAnsi="宋体" w:eastAsia="宋体" w:cs="宋体"/>
          <w:color w:val="auto"/>
          <w:sz w:val="24"/>
          <w:szCs w:val="24"/>
          <w:highlight w:val="none"/>
          <w:lang w:val="en-US" w:eastAsia="zh-CN"/>
        </w:rPr>
        <w:t>松山湖国际创新创业社区官网</w:t>
      </w:r>
      <w:r>
        <w:rPr>
          <w:rFonts w:hint="eastAsia" w:ascii="宋体" w:hAnsi="宋体" w:eastAsia="宋体" w:cs="宋体"/>
          <w:color w:val="auto"/>
          <w:sz w:val="24"/>
          <w:szCs w:val="24"/>
          <w:highlight w:val="none"/>
        </w:rPr>
        <w:t>（http://www.sliiec.net.cn/）</w:t>
      </w:r>
      <w:r>
        <w:rPr>
          <w:rFonts w:hint="eastAsia" w:ascii="宋体" w:hAnsi="宋体" w:eastAsia="宋体" w:cs="宋体"/>
          <w:color w:val="auto"/>
          <w:sz w:val="24"/>
          <w:szCs w:val="24"/>
          <w:highlight w:val="none"/>
          <w:lang w:val="en-US" w:eastAsia="zh-CN"/>
        </w:rPr>
        <w:t>社区资讯-招标采购栏目</w:t>
      </w:r>
      <w:r>
        <w:rPr>
          <w:rFonts w:hint="eastAsia" w:ascii="宋体" w:hAnsi="宋体" w:eastAsia="宋体" w:cs="宋体"/>
          <w:color w:val="auto"/>
          <w:sz w:val="24"/>
          <w:szCs w:val="24"/>
          <w:highlight w:val="none"/>
        </w:rPr>
        <w:t>发布。</w:t>
      </w:r>
    </w:p>
    <w:p w14:paraId="3D357F38">
      <w:pPr>
        <w:adjustRightInd w:val="0"/>
        <w:snapToGrid w:val="0"/>
        <w:spacing w:line="600" w:lineRule="exact"/>
        <w:ind w:firstLine="482" w:firstLineChars="200"/>
        <w:outlineLvl w:val="1"/>
        <w:rPr>
          <w:rFonts w:hint="eastAsia" w:ascii="宋体" w:hAnsi="宋体" w:eastAsia="宋体" w:cs="宋体"/>
          <w:b/>
          <w:bCs/>
          <w:color w:val="000000"/>
          <w:sz w:val="24"/>
          <w:szCs w:val="24"/>
          <w:highlight w:val="none"/>
        </w:rPr>
      </w:pPr>
      <w:r>
        <w:rPr>
          <w:rFonts w:hint="eastAsia" w:ascii="宋体" w:hAnsi="宋体" w:eastAsia="宋体" w:cs="宋体"/>
          <w:b/>
          <w:bCs/>
          <w:strike w:val="0"/>
          <w:dstrike w:val="0"/>
          <w:color w:val="auto"/>
          <w:sz w:val="24"/>
          <w:szCs w:val="24"/>
          <w:highlight w:val="none"/>
          <w:u w:val="none"/>
          <w:shd w:val="clear" w:fill="auto"/>
        </w:rPr>
        <w:sym w:font="Wingdings" w:char="F0AB"/>
      </w:r>
      <w:r>
        <w:rPr>
          <w:rFonts w:hint="eastAsia" w:ascii="宋体" w:hAnsi="宋体" w:eastAsia="宋体" w:cs="宋体"/>
          <w:b/>
          <w:bCs/>
          <w:color w:val="000000"/>
          <w:sz w:val="24"/>
          <w:szCs w:val="24"/>
          <w:highlight w:val="none"/>
        </w:rPr>
        <w:t>三、响应人资格要求</w:t>
      </w:r>
    </w:p>
    <w:p w14:paraId="5DE29DF1">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投标人须为在中华人民共和国境内登记注册的具有独立承担民事责任能力的法人或其他组织【提供《营业执照》复印件（加盖公章）或《事业单位法人证书》复印件（加盖公章）或其他主体证书复印件（加盖公章）】。</w:t>
      </w:r>
    </w:p>
    <w:p w14:paraId="76268ADA">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参加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04456E89">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投标人的单位负责人为同一人或者存在直接控股、管理关系的不同投标人，不得参加同一合同项下的采购活动。</w:t>
      </w:r>
    </w:p>
    <w:p w14:paraId="337E1F34">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未被列入“信用中国”网站(www.creditchina.gov.cn )“记录失信被执行人或重大税收违法失信主体或政府采购严重违法失信行为”记录名单。以投标截止日当天在“信用中国”网站查询结果为准，如相关失信记录已失效，投标人需提供相关证明资料。</w:t>
      </w:r>
    </w:p>
    <w:p w14:paraId="5EFBD7B1">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本项目不接受联合体参与投标；</w:t>
      </w:r>
    </w:p>
    <w:p w14:paraId="5510FE31">
      <w:pPr>
        <w:adjustRightInd w:val="0"/>
        <w:snapToGrid w:val="0"/>
        <w:spacing w:line="600" w:lineRule="exact"/>
        <w:ind w:firstLine="482" w:firstLineChars="200"/>
        <w:outlineLvl w:val="1"/>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四、采购内容及要求</w:t>
      </w:r>
    </w:p>
    <w:p w14:paraId="57960A33">
      <w:pPr>
        <w:pStyle w:val="2"/>
        <w:ind w:left="0" w:leftChars="0" w:firstLine="420" w:firstLineChars="175"/>
        <w:rPr>
          <w:rFonts w:hint="default" w:eastAsia="宋体"/>
          <w:b w:val="0"/>
          <w:bCs w:val="0"/>
          <w:highlight w:val="none"/>
          <w:lang w:val="en-US" w:eastAsia="zh-CN"/>
        </w:rPr>
      </w:pPr>
      <w:r>
        <w:rPr>
          <w:rFonts w:hint="eastAsia" w:ascii="宋体" w:hAnsi="宋体" w:cs="宋体"/>
          <w:b w:val="0"/>
          <w:bCs w:val="0"/>
          <w:color w:val="000000"/>
          <w:sz w:val="24"/>
          <w:szCs w:val="24"/>
          <w:highlight w:val="none"/>
          <w:lang w:val="en-US" w:eastAsia="zh-CN"/>
        </w:rPr>
        <w:t>（一）采购须知</w:t>
      </w:r>
    </w:p>
    <w:tbl>
      <w:tblPr>
        <w:tblStyle w:val="29"/>
        <w:tblW w:w="86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501"/>
        <w:gridCol w:w="6466"/>
      </w:tblGrid>
      <w:tr w14:paraId="69D56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18" w:type="dxa"/>
            <w:vAlign w:val="center"/>
          </w:tcPr>
          <w:p w14:paraId="64C987B0">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01" w:type="dxa"/>
            <w:vAlign w:val="center"/>
          </w:tcPr>
          <w:p w14:paraId="5FA3A5CC">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条款名称</w:t>
            </w:r>
          </w:p>
        </w:tc>
        <w:tc>
          <w:tcPr>
            <w:tcW w:w="6466" w:type="dxa"/>
            <w:vAlign w:val="center"/>
          </w:tcPr>
          <w:p w14:paraId="00425EBF">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说  明</w:t>
            </w:r>
          </w:p>
        </w:tc>
      </w:tr>
      <w:tr w14:paraId="5B2BA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18" w:type="dxa"/>
            <w:vAlign w:val="center"/>
          </w:tcPr>
          <w:p w14:paraId="7A9A2819">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501" w:type="dxa"/>
            <w:vAlign w:val="center"/>
          </w:tcPr>
          <w:p w14:paraId="7D5B15DE">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合格投标人</w:t>
            </w:r>
          </w:p>
        </w:tc>
        <w:tc>
          <w:tcPr>
            <w:tcW w:w="6466" w:type="dxa"/>
            <w:vAlign w:val="center"/>
          </w:tcPr>
          <w:p w14:paraId="55D988B5">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响应人资格要求”</w:t>
            </w:r>
          </w:p>
        </w:tc>
      </w:tr>
      <w:tr w14:paraId="67695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8" w:hRule="atLeast"/>
        </w:trPr>
        <w:tc>
          <w:tcPr>
            <w:tcW w:w="718" w:type="dxa"/>
            <w:vAlign w:val="center"/>
          </w:tcPr>
          <w:p w14:paraId="59B2AA3A">
            <w:pPr>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501" w:type="dxa"/>
            <w:vAlign w:val="center"/>
          </w:tcPr>
          <w:p w14:paraId="0D87EB4E">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6466" w:type="dxa"/>
            <w:vAlign w:val="center"/>
          </w:tcPr>
          <w:p w14:paraId="67153329">
            <w:pP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说明：</w:t>
            </w:r>
            <w:r>
              <w:rPr>
                <w:rFonts w:hint="eastAsia" w:ascii="宋体" w:hAnsi="宋体" w:cs="宋体"/>
                <w:sz w:val="24"/>
                <w:szCs w:val="24"/>
                <w:highlight w:val="none"/>
                <w:lang w:val="en-US" w:eastAsia="zh-CN"/>
              </w:rPr>
              <w:t>每</w:t>
            </w:r>
            <w:r>
              <w:rPr>
                <w:rFonts w:hint="eastAsia" w:ascii="宋体" w:hAnsi="宋体" w:eastAsia="宋体" w:cs="宋体"/>
                <w:sz w:val="24"/>
                <w:szCs w:val="24"/>
                <w:highlight w:val="none"/>
                <w:lang w:val="en-US" w:eastAsia="zh-CN"/>
              </w:rPr>
              <w:t>项造价咨询费的计费基数，最终以采购人复核确认的</w:t>
            </w:r>
            <w:r>
              <w:rPr>
                <w:rFonts w:hint="eastAsia" w:ascii="宋体" w:hAnsi="宋体" w:cs="宋体"/>
                <w:sz w:val="24"/>
                <w:szCs w:val="24"/>
                <w:highlight w:val="none"/>
                <w:lang w:val="en-US" w:eastAsia="zh-CN"/>
              </w:rPr>
              <w:t>预（结）算金额</w:t>
            </w:r>
            <w:r>
              <w:rPr>
                <w:rFonts w:hint="eastAsia" w:ascii="宋体" w:hAnsi="宋体" w:eastAsia="宋体" w:cs="宋体"/>
                <w:sz w:val="24"/>
                <w:szCs w:val="24"/>
                <w:highlight w:val="none"/>
                <w:lang w:val="en-US" w:eastAsia="zh-CN"/>
              </w:rPr>
              <w:t>为准。</w:t>
            </w:r>
          </w:p>
          <w:p w14:paraId="626E7EC6">
            <w:pPr>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1、中标人按合同约定提交初步成果文件，经采购人确认后30个日历天内，采购人向中标人支付</w:t>
            </w:r>
            <w:r>
              <w:rPr>
                <w:rFonts w:hint="eastAsia" w:asciiTheme="minorEastAsia" w:hAnsiTheme="minorEastAsia" w:cstheme="minorEastAsia"/>
                <w:sz w:val="21"/>
                <w:szCs w:val="21"/>
                <w:highlight w:val="none"/>
                <w:lang w:val="en-US" w:eastAsia="zh-CN"/>
              </w:rPr>
              <w:t>该项</w:t>
            </w:r>
            <w:r>
              <w:rPr>
                <w:rFonts w:hint="eastAsia" w:asciiTheme="minorEastAsia" w:hAnsiTheme="minorEastAsia" w:eastAsiaTheme="minorEastAsia" w:cstheme="minorEastAsia"/>
                <w:sz w:val="21"/>
                <w:szCs w:val="21"/>
                <w:highlight w:val="none"/>
                <w:lang w:val="en-US" w:eastAsia="zh-CN"/>
              </w:rPr>
              <w:t>咨询服务费总价的50%；</w:t>
            </w:r>
          </w:p>
          <w:p w14:paraId="207F636A">
            <w:pPr>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2、中标人按合同约定提交最终成果文件，经采购人确认后30个日历天内，采购人向中标人支付</w:t>
            </w:r>
            <w:r>
              <w:rPr>
                <w:rFonts w:hint="eastAsia" w:asciiTheme="minorEastAsia" w:hAnsiTheme="minorEastAsia" w:cstheme="minorEastAsia"/>
                <w:sz w:val="21"/>
                <w:szCs w:val="21"/>
                <w:highlight w:val="none"/>
                <w:lang w:val="en-US" w:eastAsia="zh-CN"/>
              </w:rPr>
              <w:t>到该项</w:t>
            </w:r>
            <w:r>
              <w:rPr>
                <w:rFonts w:hint="eastAsia" w:asciiTheme="minorEastAsia" w:hAnsiTheme="minorEastAsia" w:eastAsiaTheme="minorEastAsia" w:cstheme="minorEastAsia"/>
                <w:sz w:val="21"/>
                <w:szCs w:val="21"/>
                <w:highlight w:val="none"/>
                <w:lang w:val="en-US" w:eastAsia="zh-CN"/>
              </w:rPr>
              <w:t>咨询服务费总价的90%；</w:t>
            </w:r>
          </w:p>
          <w:p w14:paraId="03069CDA">
            <w:pPr>
              <w:spacing w:line="400" w:lineRule="exact"/>
              <w:ind w:firstLine="420" w:firstLineChars="200"/>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sz w:val="21"/>
                <w:szCs w:val="21"/>
                <w:highlight w:val="none"/>
                <w:lang w:val="en-US" w:eastAsia="zh-CN"/>
              </w:rPr>
              <w:t>3、</w:t>
            </w:r>
            <w:r>
              <w:rPr>
                <w:rFonts w:hint="eastAsia" w:ascii="宋体" w:hAnsi="宋体" w:cs="宋体"/>
                <w:color w:val="auto"/>
                <w:szCs w:val="21"/>
                <w:highlight w:val="none"/>
                <w:lang w:val="en-US" w:eastAsia="zh-CN"/>
              </w:rPr>
              <w:t>合同服务期结束并</w:t>
            </w:r>
            <w:r>
              <w:rPr>
                <w:rFonts w:hint="eastAsia" w:asciiTheme="minorEastAsia" w:hAnsiTheme="minorEastAsia" w:eastAsiaTheme="minorEastAsia" w:cstheme="minorEastAsia"/>
                <w:sz w:val="21"/>
                <w:szCs w:val="21"/>
                <w:highlight w:val="none"/>
                <w:lang w:val="en-US" w:eastAsia="zh-CN"/>
              </w:rPr>
              <w:t>完成结算后30个日历天内，采购人向中标人支付</w:t>
            </w:r>
            <w:r>
              <w:rPr>
                <w:rFonts w:hint="eastAsia" w:asciiTheme="minorEastAsia" w:hAnsiTheme="minorEastAsia" w:cstheme="minorEastAsia"/>
                <w:sz w:val="21"/>
                <w:szCs w:val="21"/>
                <w:highlight w:val="none"/>
                <w:lang w:val="en-US" w:eastAsia="zh-CN"/>
              </w:rPr>
              <w:t>到结算</w:t>
            </w:r>
            <w:r>
              <w:rPr>
                <w:rFonts w:hint="eastAsia" w:asciiTheme="minorEastAsia" w:hAnsiTheme="minorEastAsia" w:eastAsiaTheme="minorEastAsia" w:cstheme="minorEastAsia"/>
                <w:sz w:val="21"/>
                <w:szCs w:val="21"/>
                <w:highlight w:val="none"/>
                <w:lang w:val="en-US" w:eastAsia="zh-CN"/>
              </w:rPr>
              <w:t>总价的100%。</w:t>
            </w:r>
          </w:p>
        </w:tc>
      </w:tr>
      <w:tr w14:paraId="73FBD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trPr>
        <w:tc>
          <w:tcPr>
            <w:tcW w:w="718" w:type="dxa"/>
            <w:vAlign w:val="center"/>
          </w:tcPr>
          <w:p w14:paraId="06E2DAD2">
            <w:pPr>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501" w:type="dxa"/>
            <w:vAlign w:val="center"/>
          </w:tcPr>
          <w:p w14:paraId="5858E9FE">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服务期</w:t>
            </w:r>
          </w:p>
        </w:tc>
        <w:tc>
          <w:tcPr>
            <w:tcW w:w="6466" w:type="dxa"/>
            <w:vAlign w:val="center"/>
          </w:tcPr>
          <w:p w14:paraId="04438E73">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自合同签订之日起两年</w:t>
            </w:r>
          </w:p>
        </w:tc>
      </w:tr>
      <w:tr w14:paraId="32AAE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trPr>
        <w:tc>
          <w:tcPr>
            <w:tcW w:w="718" w:type="dxa"/>
            <w:vAlign w:val="center"/>
          </w:tcPr>
          <w:p w14:paraId="337A09FC">
            <w:pPr>
              <w:spacing w:line="4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501" w:type="dxa"/>
            <w:vAlign w:val="center"/>
          </w:tcPr>
          <w:p w14:paraId="32ABC58B">
            <w:pPr>
              <w:spacing w:line="40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项目地点</w:t>
            </w:r>
          </w:p>
        </w:tc>
        <w:tc>
          <w:tcPr>
            <w:tcW w:w="6466" w:type="dxa"/>
            <w:vAlign w:val="center"/>
          </w:tcPr>
          <w:p w14:paraId="4A1BEAC2">
            <w:pPr>
              <w:spacing w:line="40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采购人指定地点。</w:t>
            </w:r>
          </w:p>
        </w:tc>
      </w:tr>
      <w:tr w14:paraId="791D0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3" w:hRule="atLeast"/>
        </w:trPr>
        <w:tc>
          <w:tcPr>
            <w:tcW w:w="718" w:type="dxa"/>
            <w:vAlign w:val="center"/>
          </w:tcPr>
          <w:p w14:paraId="0318ED58">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501" w:type="dxa"/>
            <w:vAlign w:val="center"/>
          </w:tcPr>
          <w:p w14:paraId="13409B0E">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报价要求</w:t>
            </w:r>
          </w:p>
        </w:tc>
        <w:tc>
          <w:tcPr>
            <w:tcW w:w="6466" w:type="dxa"/>
            <w:vAlign w:val="center"/>
          </w:tcPr>
          <w:p w14:paraId="2CAFBFAC">
            <w:pPr>
              <w:numPr>
                <w:ilvl w:val="0"/>
                <w:numId w:val="3"/>
              </w:numPr>
              <w:rPr>
                <w:rFonts w:hint="eastAsia" w:ascii="宋体" w:hAnsi="宋体" w:eastAsia="宋体" w:cs="宋体"/>
                <w:color w:val="auto"/>
                <w:sz w:val="24"/>
                <w:szCs w:val="24"/>
                <w:highlight w:val="none"/>
                <w:lang w:val="en-US" w:eastAsia="zh-CN"/>
              </w:rPr>
            </w:pPr>
            <w:r>
              <w:rPr>
                <w:rFonts w:hint="eastAsia" w:asciiTheme="minorEastAsia" w:hAnsiTheme="minorEastAsia" w:cstheme="minorEastAsia"/>
                <w:sz w:val="21"/>
                <w:szCs w:val="21"/>
                <w:highlight w:val="none"/>
                <w:lang w:val="en-US" w:eastAsia="zh-CN"/>
              </w:rPr>
              <w:t>按单项进行计费。每</w:t>
            </w:r>
            <w:r>
              <w:rPr>
                <w:rFonts w:hint="eastAsia" w:asciiTheme="minorEastAsia" w:hAnsiTheme="minorEastAsia" w:eastAsiaTheme="minorEastAsia" w:cstheme="minorEastAsia"/>
                <w:sz w:val="21"/>
                <w:szCs w:val="21"/>
                <w:highlight w:val="none"/>
                <w:lang w:val="en-US" w:eastAsia="zh-CN"/>
              </w:rPr>
              <w:t>项造价咨询费的计费基数，最终以采购人复核确认的造价为准。</w:t>
            </w:r>
            <w:r>
              <w:rPr>
                <w:rFonts w:hint="eastAsia" w:ascii="宋体" w:hAnsi="宋体" w:cs="宋体"/>
                <w:sz w:val="24"/>
                <w:szCs w:val="24"/>
                <w:highlight w:val="none"/>
                <w:lang w:val="en-US" w:eastAsia="zh-CN"/>
              </w:rPr>
              <w:t>每</w:t>
            </w:r>
            <w:r>
              <w:rPr>
                <w:rFonts w:hint="eastAsia" w:ascii="宋体" w:hAnsi="宋体" w:eastAsia="宋体" w:cs="宋体"/>
                <w:sz w:val="24"/>
                <w:szCs w:val="24"/>
                <w:highlight w:val="none"/>
                <w:lang w:val="en-US" w:eastAsia="zh-CN"/>
              </w:rPr>
              <w:t>项造价咨询费的计费基数，最终以采购人复核确认的</w:t>
            </w:r>
            <w:r>
              <w:rPr>
                <w:rFonts w:hint="eastAsia" w:ascii="宋体" w:hAnsi="宋体" w:cs="宋体"/>
                <w:sz w:val="24"/>
                <w:szCs w:val="24"/>
                <w:highlight w:val="none"/>
                <w:lang w:val="en-US" w:eastAsia="zh-CN"/>
              </w:rPr>
              <w:t>预（结）算金额</w:t>
            </w:r>
            <w:r>
              <w:rPr>
                <w:rFonts w:hint="eastAsia" w:ascii="宋体" w:hAnsi="宋体" w:eastAsia="宋体" w:cs="宋体"/>
                <w:sz w:val="24"/>
                <w:szCs w:val="24"/>
                <w:highlight w:val="none"/>
                <w:lang w:val="en-US" w:eastAsia="zh-CN"/>
              </w:rPr>
              <w:t>为准。</w:t>
            </w:r>
          </w:p>
          <w:p w14:paraId="6D82CA7C">
            <w:pPr>
              <w:widowControl w:val="0"/>
              <w:tabs>
                <w:tab w:val="left" w:pos="907"/>
              </w:tabs>
              <w:adjustRightInd/>
              <w:snapToGrid/>
              <w:spacing w:line="360" w:lineRule="exact"/>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、收费标准参照《造价咨询服务收费项目和收费标准》</w:t>
            </w:r>
            <w:r>
              <w:rPr>
                <w:rFonts w:hint="eastAsia" w:ascii="宋体" w:hAnsi="宋体" w:cs="宋体"/>
                <w:color w:val="auto"/>
                <w:sz w:val="24"/>
                <w:szCs w:val="24"/>
                <w:highlight w:val="none"/>
                <w:lang w:val="en-US" w:eastAsia="zh-CN"/>
              </w:rPr>
              <w:t>的规则及备注说明</w:t>
            </w:r>
            <w:r>
              <w:rPr>
                <w:rFonts w:hint="eastAsia" w:ascii="宋体" w:hAnsi="宋体" w:eastAsia="宋体" w:cs="宋体"/>
                <w:color w:val="auto"/>
                <w:sz w:val="24"/>
                <w:szCs w:val="24"/>
                <w:highlight w:val="none"/>
                <w:lang w:val="en-US" w:eastAsia="zh-CN"/>
              </w:rPr>
              <w:t>予以计算（详见附件</w:t>
            </w: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w:t>
            </w:r>
          </w:p>
          <w:p w14:paraId="269B36E1">
            <w:pPr>
              <w:spacing w:line="400" w:lineRule="exact"/>
              <w:rPr>
                <w:rFonts w:hint="eastAsia" w:ascii="宋体" w:hAnsi="宋体" w:eastAsia="宋体" w:cs="宋体"/>
                <w:sz w:val="24"/>
                <w:szCs w:val="24"/>
                <w:highlight w:val="none"/>
              </w:rPr>
            </w:pPr>
            <w:r>
              <w:rPr>
                <w:rFonts w:hint="eastAsia" w:ascii="宋体" w:hAnsi="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本项目</w:t>
            </w:r>
            <w:r>
              <w:rPr>
                <w:rFonts w:hint="eastAsia" w:ascii="宋体" w:hAnsi="宋体" w:eastAsia="宋体" w:cs="宋体"/>
                <w:b/>
                <w:bCs/>
                <w:sz w:val="24"/>
                <w:szCs w:val="24"/>
                <w:highlight w:val="none"/>
                <w:u w:val="single"/>
                <w:lang w:val="en-US" w:eastAsia="zh-CN"/>
              </w:rPr>
              <w:t>咨询</w:t>
            </w:r>
            <w:r>
              <w:rPr>
                <w:rFonts w:hint="eastAsia" w:ascii="宋体" w:hAnsi="宋体" w:eastAsia="宋体" w:cs="宋体"/>
                <w:b/>
                <w:bCs/>
                <w:sz w:val="24"/>
                <w:szCs w:val="24"/>
                <w:highlight w:val="none"/>
                <w:u w:val="single"/>
              </w:rPr>
              <w:t>服务收费系数为投标人自主填报，投标人的投标报价范围0--0.</w:t>
            </w:r>
            <w:r>
              <w:rPr>
                <w:rFonts w:hint="eastAsia" w:ascii="宋体" w:hAnsi="宋体" w:cs="宋体"/>
                <w:b/>
                <w:bCs/>
                <w:sz w:val="24"/>
                <w:szCs w:val="24"/>
                <w:highlight w:val="none"/>
                <w:u w:val="single"/>
                <w:lang w:val="en-US" w:eastAsia="zh-CN"/>
              </w:rPr>
              <w:t>9</w:t>
            </w:r>
            <w:r>
              <w:rPr>
                <w:rFonts w:hint="eastAsia" w:ascii="宋体" w:hAnsi="宋体" w:eastAsia="宋体" w:cs="宋体"/>
                <w:b/>
                <w:bCs/>
                <w:sz w:val="24"/>
                <w:szCs w:val="24"/>
                <w:highlight w:val="none"/>
                <w:u w:val="single"/>
              </w:rPr>
              <w:t>的值，值不在该范围的视为无效报价处理。</w:t>
            </w:r>
          </w:p>
          <w:p w14:paraId="24A5C167">
            <w:pPr>
              <w:spacing w:line="400" w:lineRule="exact"/>
              <w:rPr>
                <w:rFonts w:hint="eastAsia" w:ascii="宋体" w:hAnsi="宋体" w:eastAsia="宋体" w:cs="宋体"/>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投标报价应包括本次采购所有服务内容的费用，包括但不限于人工、材料、成本、利润、机械设备使用费、措施费、税费以及合同实施过程中的不可预见费用等全部费用。</w:t>
            </w:r>
            <w:r>
              <w:rPr>
                <w:rFonts w:hint="eastAsia" w:ascii="宋体" w:hAnsi="宋体" w:eastAsia="宋体" w:cs="宋体"/>
                <w:sz w:val="24"/>
                <w:szCs w:val="24"/>
                <w:highlight w:val="none"/>
                <w:lang w:val="en-US" w:eastAsia="zh-CN"/>
              </w:rPr>
              <w:t xml:space="preserve"> </w:t>
            </w:r>
          </w:p>
        </w:tc>
      </w:tr>
      <w:tr w14:paraId="08A16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718" w:type="dxa"/>
            <w:vAlign w:val="center"/>
          </w:tcPr>
          <w:p w14:paraId="12F68E31">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501" w:type="dxa"/>
            <w:vAlign w:val="center"/>
          </w:tcPr>
          <w:p w14:paraId="56E0920D">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w:t>
            </w:r>
          </w:p>
        </w:tc>
        <w:tc>
          <w:tcPr>
            <w:tcW w:w="6466" w:type="dxa"/>
            <w:vAlign w:val="center"/>
          </w:tcPr>
          <w:p w14:paraId="1479F21D">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自开标之日起90天。</w:t>
            </w:r>
          </w:p>
        </w:tc>
      </w:tr>
      <w:tr w14:paraId="4B070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18" w:type="dxa"/>
            <w:vAlign w:val="center"/>
          </w:tcPr>
          <w:p w14:paraId="6E2B6ADD">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501" w:type="dxa"/>
            <w:vAlign w:val="center"/>
          </w:tcPr>
          <w:p w14:paraId="5B10FD74">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合同条款</w:t>
            </w:r>
          </w:p>
        </w:tc>
        <w:tc>
          <w:tcPr>
            <w:tcW w:w="6466" w:type="dxa"/>
            <w:vAlign w:val="center"/>
          </w:tcPr>
          <w:p w14:paraId="4397F5DA">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投标人实质响应合同各条款。</w:t>
            </w:r>
          </w:p>
        </w:tc>
      </w:tr>
      <w:tr w14:paraId="77507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18" w:type="dxa"/>
            <w:vAlign w:val="center"/>
          </w:tcPr>
          <w:p w14:paraId="233E8025">
            <w:pPr>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501" w:type="dxa"/>
            <w:vAlign w:val="center"/>
          </w:tcPr>
          <w:p w14:paraId="1CD11A20">
            <w:pPr>
              <w:spacing w:line="40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其他要求</w:t>
            </w:r>
          </w:p>
        </w:tc>
        <w:tc>
          <w:tcPr>
            <w:tcW w:w="6466" w:type="dxa"/>
            <w:vAlign w:val="center"/>
          </w:tcPr>
          <w:p w14:paraId="55AA0B1F">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参加投标的家数未达到入围家数时，作流标处理。</w:t>
            </w:r>
          </w:p>
          <w:p w14:paraId="3C6F5BD0">
            <w:pPr>
              <w:numPr>
                <w:ilvl w:val="0"/>
                <w:numId w:val="4"/>
              </w:numPr>
              <w:spacing w:line="400" w:lineRule="exact"/>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中标后东莞市以外的公司可授权东莞分公司负责签订合同、开发票、收款等事项，开出的所有发票须符合现行政策中的所有规定。</w:t>
            </w:r>
          </w:p>
          <w:p w14:paraId="33BB4A31">
            <w:pPr>
              <w:spacing w:line="400" w:lineRule="exact"/>
              <w:rPr>
                <w:rFonts w:hint="eastAsia"/>
                <w:highlight w:val="none"/>
              </w:rPr>
            </w:pP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3、服务条款：</w:t>
            </w:r>
            <w:r>
              <w:rPr>
                <w:rFonts w:hint="default" w:ascii="宋体" w:hAnsi="宋体" w:eastAsia="宋体" w:cs="宋体"/>
                <w:sz w:val="24"/>
                <w:szCs w:val="24"/>
                <w:highlight w:val="none"/>
                <w:lang w:val="en-US" w:eastAsia="zh-CN"/>
              </w:rPr>
              <w:t>服务单位需在东莞市住房和城乡建设局建立对应的企业类型信用档案（须提供投标截止日前一天在东莞建设网站查询获取的工程造价咨询企业信用档案截图并加盖投标人公章或提供在中标后30天内在东莞建设网站完成办理工程造价咨询企业显示为“正常登记”状态的信用档案的承诺书，详见投标格式附件</w:t>
            </w:r>
            <w:r>
              <w:rPr>
                <w:rFonts w:hint="eastAsia" w:ascii="宋体" w:hAnsi="宋体" w:cs="宋体"/>
                <w:sz w:val="24"/>
                <w:szCs w:val="24"/>
                <w:highlight w:val="none"/>
                <w:lang w:val="en-US" w:eastAsia="zh-CN"/>
              </w:rPr>
              <w:t>）</w:t>
            </w:r>
            <w:r>
              <w:rPr>
                <w:rFonts w:hint="default" w:ascii="宋体" w:hAnsi="宋体" w:eastAsia="宋体" w:cs="宋体"/>
                <w:sz w:val="24"/>
                <w:szCs w:val="24"/>
                <w:highlight w:val="none"/>
                <w:lang w:val="en-US" w:eastAsia="zh-CN"/>
              </w:rPr>
              <w:t>。</w:t>
            </w:r>
          </w:p>
        </w:tc>
      </w:tr>
    </w:tbl>
    <w:p w14:paraId="1634C32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kern w:val="2"/>
          <w:sz w:val="24"/>
          <w:szCs w:val="24"/>
          <w:highlight w:val="none"/>
          <w:lang w:val="en-US" w:eastAsia="zh-CN" w:bidi="ar-SA"/>
        </w:rPr>
        <w:t>（二）工作开展时限：</w:t>
      </w:r>
      <w:r>
        <w:rPr>
          <w:rFonts w:hint="eastAsia" w:ascii="宋体" w:hAnsi="宋体" w:eastAsia="宋体" w:cs="宋体"/>
          <w:sz w:val="24"/>
          <w:szCs w:val="24"/>
          <w:highlight w:val="none"/>
          <w:lang w:val="en-US" w:eastAsia="zh-CN"/>
        </w:rPr>
        <w:t>参照财政部、建设部共同</w:t>
      </w:r>
      <w:r>
        <w:rPr>
          <w:rFonts w:hint="eastAsia" w:ascii="宋体" w:hAnsi="宋体" w:eastAsia="宋体" w:cs="宋体"/>
          <w:strike w:val="0"/>
          <w:dstrike w:val="0"/>
          <w:color w:val="auto"/>
          <w:sz w:val="24"/>
          <w:szCs w:val="24"/>
          <w:highlight w:val="none"/>
          <w:u w:val="none"/>
          <w:shd w:val="clear" w:fill="auto"/>
          <w:lang w:val="en-US" w:eastAsia="zh-CN"/>
        </w:rPr>
        <w:t>颁</w:t>
      </w:r>
      <w:r>
        <w:rPr>
          <w:rFonts w:hint="eastAsia" w:ascii="宋体" w:hAnsi="宋体" w:eastAsia="宋体" w:cs="宋体"/>
          <w:sz w:val="24"/>
          <w:szCs w:val="24"/>
          <w:highlight w:val="none"/>
          <w:lang w:val="en-US" w:eastAsia="zh-CN"/>
        </w:rPr>
        <w:t>发的《建设工程价款结算暂行</w:t>
      </w:r>
      <w:r>
        <w:rPr>
          <w:rFonts w:hint="eastAsia" w:ascii="宋体" w:hAnsi="宋体" w:eastAsia="宋体" w:cs="宋体"/>
          <w:strike w:val="0"/>
          <w:dstrike w:val="0"/>
          <w:color w:val="auto"/>
          <w:sz w:val="24"/>
          <w:szCs w:val="24"/>
          <w:highlight w:val="none"/>
          <w:u w:val="none"/>
          <w:shd w:val="clear" w:fill="auto"/>
          <w:lang w:val="en-US" w:eastAsia="zh-CN"/>
        </w:rPr>
        <w:t>规定</w:t>
      </w:r>
      <w:r>
        <w:rPr>
          <w:rFonts w:hint="eastAsia" w:ascii="宋体" w:hAnsi="宋体" w:eastAsia="宋体" w:cs="宋体"/>
          <w:sz w:val="24"/>
          <w:szCs w:val="24"/>
          <w:highlight w:val="none"/>
          <w:lang w:val="en-US" w:eastAsia="zh-CN"/>
        </w:rPr>
        <w:t>》（财建[2004]369号）及广东省财政厅《广东省财政性资金基本建设投资评审暂行办法》（粤财基[2000]18号）的规定，结合采购人的实际情况，中介机构的审核时限一般参照以下</w:t>
      </w:r>
      <w:r>
        <w:rPr>
          <w:rFonts w:hint="eastAsia" w:ascii="宋体" w:hAnsi="宋体" w:eastAsia="宋体" w:cs="宋体"/>
          <w:strike w:val="0"/>
          <w:dstrike w:val="0"/>
          <w:color w:val="auto"/>
          <w:sz w:val="24"/>
          <w:szCs w:val="24"/>
          <w:highlight w:val="none"/>
          <w:u w:val="none"/>
          <w:shd w:val="clear" w:fill="auto"/>
          <w:lang w:val="en-US" w:eastAsia="zh-CN"/>
        </w:rPr>
        <w:t>的</w:t>
      </w:r>
      <w:r>
        <w:rPr>
          <w:rFonts w:hint="eastAsia" w:ascii="宋体" w:hAnsi="宋体" w:eastAsia="宋体" w:cs="宋体"/>
          <w:sz w:val="24"/>
          <w:szCs w:val="24"/>
          <w:highlight w:val="none"/>
          <w:lang w:val="en-US" w:eastAsia="zh-CN"/>
        </w:rPr>
        <w:t>标准执行：</w:t>
      </w:r>
    </w:p>
    <w:p w14:paraId="0D3611E3">
      <w:pPr>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12969462">
      <w:pPr>
        <w:spacing w:line="360" w:lineRule="auto"/>
        <w:ind w:firstLine="420" w:firstLineChars="200"/>
        <w:jc w:val="right"/>
        <w:rPr>
          <w:rFonts w:hint="eastAsia" w:ascii="宋体" w:hAnsi="宋体" w:cs="宋体"/>
          <w:color w:val="auto"/>
          <w:kern w:val="28"/>
          <w:sz w:val="21"/>
          <w:szCs w:val="21"/>
          <w:highlight w:val="none"/>
          <w:lang w:val="en-US" w:eastAsia="zh-CN"/>
        </w:rPr>
      </w:pPr>
      <w:r>
        <w:rPr>
          <w:rFonts w:hint="eastAsia" w:ascii="宋体" w:hAnsi="宋体" w:cs="宋体"/>
          <w:color w:val="auto"/>
          <w:kern w:val="28"/>
          <w:sz w:val="21"/>
          <w:szCs w:val="21"/>
          <w:highlight w:val="none"/>
          <w:lang w:val="en-US" w:eastAsia="zh-CN"/>
        </w:rPr>
        <w:t>单位：工作日</w:t>
      </w:r>
    </w:p>
    <w:tbl>
      <w:tblPr>
        <w:tblStyle w:val="29"/>
        <w:tblW w:w="4998" w:type="pct"/>
        <w:jc w:val="center"/>
        <w:tblLayout w:type="autofit"/>
        <w:tblCellMar>
          <w:top w:w="0" w:type="dxa"/>
          <w:left w:w="108" w:type="dxa"/>
          <w:bottom w:w="0" w:type="dxa"/>
          <w:right w:w="108" w:type="dxa"/>
        </w:tblCellMar>
      </w:tblPr>
      <w:tblGrid>
        <w:gridCol w:w="534"/>
        <w:gridCol w:w="2486"/>
        <w:gridCol w:w="702"/>
        <w:gridCol w:w="755"/>
        <w:gridCol w:w="820"/>
        <w:gridCol w:w="755"/>
        <w:gridCol w:w="735"/>
        <w:gridCol w:w="779"/>
        <w:gridCol w:w="953"/>
      </w:tblGrid>
      <w:tr w14:paraId="1EAEAE03">
        <w:tblPrEx>
          <w:tblCellMar>
            <w:top w:w="0" w:type="dxa"/>
            <w:left w:w="108" w:type="dxa"/>
            <w:bottom w:w="0" w:type="dxa"/>
            <w:right w:w="108" w:type="dxa"/>
          </w:tblCellMar>
        </w:tblPrEx>
        <w:trPr>
          <w:cantSplit/>
          <w:trHeight w:val="640" w:hRule="atLeast"/>
          <w:jc w:val="center"/>
        </w:trPr>
        <w:tc>
          <w:tcPr>
            <w:tcW w:w="314" w:type="pct"/>
            <w:vMerge w:val="restart"/>
            <w:tcBorders>
              <w:top w:val="single" w:color="auto" w:sz="4" w:space="0"/>
              <w:left w:val="single" w:color="auto" w:sz="4" w:space="0"/>
              <w:bottom w:val="single" w:color="000000" w:sz="4" w:space="0"/>
              <w:right w:val="single" w:color="auto" w:sz="4" w:space="0"/>
            </w:tcBorders>
            <w:noWrap w:val="0"/>
            <w:vAlign w:val="center"/>
          </w:tcPr>
          <w:p w14:paraId="601DFA0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459" w:type="pct"/>
            <w:vMerge w:val="restart"/>
            <w:tcBorders>
              <w:top w:val="single" w:color="auto" w:sz="4" w:space="0"/>
              <w:left w:val="single" w:color="auto" w:sz="4" w:space="0"/>
              <w:bottom w:val="single" w:color="000000" w:sz="4" w:space="0"/>
              <w:right w:val="single" w:color="auto" w:sz="4" w:space="0"/>
            </w:tcBorders>
            <w:noWrap w:val="0"/>
            <w:vAlign w:val="center"/>
          </w:tcPr>
          <w:p w14:paraId="6907B7E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项目</w:t>
            </w:r>
          </w:p>
        </w:tc>
        <w:tc>
          <w:tcPr>
            <w:tcW w:w="855" w:type="pct"/>
            <w:gridSpan w:val="2"/>
            <w:tcBorders>
              <w:top w:val="single" w:color="auto" w:sz="4" w:space="0"/>
              <w:left w:val="nil"/>
              <w:bottom w:val="single" w:color="auto" w:sz="4" w:space="0"/>
              <w:right w:val="single" w:color="auto" w:sz="4" w:space="0"/>
            </w:tcBorders>
            <w:noWrap w:val="0"/>
            <w:vAlign w:val="center"/>
          </w:tcPr>
          <w:p w14:paraId="55297BA7">
            <w:pPr>
              <w:jc w:val="center"/>
              <w:rPr>
                <w:rFonts w:ascii="宋体" w:hAnsi="宋体" w:cs="宋体"/>
                <w:color w:val="auto"/>
                <w:kern w:val="0"/>
                <w:szCs w:val="21"/>
                <w:highlight w:val="none"/>
              </w:rPr>
            </w:pPr>
            <w:r>
              <w:rPr>
                <w:rFonts w:hint="eastAsia" w:ascii="宋体" w:hAnsi="宋体" w:cs="宋体"/>
                <w:color w:val="auto"/>
                <w:kern w:val="0"/>
                <w:szCs w:val="21"/>
                <w:highlight w:val="none"/>
              </w:rPr>
              <w:t>市政路桥</w:t>
            </w:r>
          </w:p>
        </w:tc>
        <w:tc>
          <w:tcPr>
            <w:tcW w:w="924" w:type="pct"/>
            <w:gridSpan w:val="2"/>
            <w:tcBorders>
              <w:top w:val="single" w:color="auto" w:sz="4" w:space="0"/>
              <w:left w:val="nil"/>
              <w:bottom w:val="single" w:color="auto" w:sz="4" w:space="0"/>
              <w:right w:val="single" w:color="auto" w:sz="4" w:space="0"/>
            </w:tcBorders>
            <w:noWrap w:val="0"/>
            <w:vAlign w:val="center"/>
          </w:tcPr>
          <w:p w14:paraId="5B09D0DB">
            <w:pPr>
              <w:jc w:val="center"/>
              <w:rPr>
                <w:rFonts w:ascii="宋体" w:hAnsi="宋体" w:cs="宋体"/>
                <w:color w:val="auto"/>
                <w:kern w:val="0"/>
                <w:szCs w:val="21"/>
                <w:highlight w:val="none"/>
              </w:rPr>
            </w:pPr>
            <w:r>
              <w:rPr>
                <w:rFonts w:hint="eastAsia" w:ascii="宋体" w:hAnsi="宋体" w:cs="宋体"/>
                <w:color w:val="auto"/>
                <w:kern w:val="0"/>
                <w:szCs w:val="21"/>
                <w:highlight w:val="none"/>
              </w:rPr>
              <w:t>土建</w:t>
            </w:r>
          </w:p>
        </w:tc>
        <w:tc>
          <w:tcPr>
            <w:tcW w:w="888" w:type="pct"/>
            <w:gridSpan w:val="2"/>
            <w:tcBorders>
              <w:top w:val="single" w:color="auto" w:sz="4" w:space="0"/>
              <w:left w:val="nil"/>
              <w:right w:val="single" w:color="auto" w:sz="4" w:space="0"/>
            </w:tcBorders>
            <w:noWrap w:val="0"/>
            <w:vAlign w:val="center"/>
          </w:tcPr>
          <w:p w14:paraId="21BED012">
            <w:pPr>
              <w:jc w:val="center"/>
              <w:rPr>
                <w:rFonts w:ascii="宋体" w:hAnsi="宋体" w:cs="宋体"/>
                <w:color w:val="auto"/>
                <w:kern w:val="0"/>
                <w:szCs w:val="21"/>
                <w:highlight w:val="none"/>
              </w:rPr>
            </w:pPr>
            <w:r>
              <w:rPr>
                <w:rFonts w:hint="eastAsia" w:ascii="宋体" w:hAnsi="宋体" w:cs="宋体"/>
                <w:color w:val="auto"/>
                <w:kern w:val="0"/>
                <w:szCs w:val="21"/>
                <w:highlight w:val="none"/>
              </w:rPr>
              <w:t>安装</w:t>
            </w:r>
          </w:p>
        </w:tc>
        <w:tc>
          <w:tcPr>
            <w:tcW w:w="559" w:type="pct"/>
            <w:vMerge w:val="restart"/>
            <w:tcBorders>
              <w:top w:val="single" w:color="auto" w:sz="4" w:space="0"/>
              <w:left w:val="nil"/>
              <w:right w:val="single" w:color="auto" w:sz="4" w:space="0"/>
            </w:tcBorders>
            <w:noWrap w:val="0"/>
            <w:vAlign w:val="center"/>
          </w:tcPr>
          <w:p w14:paraId="27872572">
            <w:pPr>
              <w:widowControl/>
              <w:jc w:val="center"/>
              <w:rPr>
                <w:rFonts w:ascii="宋体" w:hAnsi="宋体" w:cs="宋体"/>
                <w:strike w:val="0"/>
                <w:dstrike w:val="0"/>
                <w:color w:val="auto"/>
                <w:kern w:val="0"/>
                <w:szCs w:val="21"/>
                <w:highlight w:val="none"/>
                <w:u w:val="none"/>
                <w:shd w:val="clear" w:fill="auto"/>
              </w:rPr>
            </w:pPr>
            <w:r>
              <w:rPr>
                <w:rFonts w:hint="eastAsia" w:ascii="宋体" w:hAnsi="宋体" w:cs="宋体"/>
                <w:color w:val="auto"/>
                <w:kern w:val="0"/>
                <w:szCs w:val="21"/>
                <w:highlight w:val="none"/>
              </w:rPr>
              <w:t>备注</w:t>
            </w:r>
          </w:p>
          <w:p w14:paraId="052465F1">
            <w:pPr>
              <w:jc w:val="center"/>
              <w:rPr>
                <w:rFonts w:ascii="宋体" w:hAnsi="宋体" w:cs="宋体"/>
                <w:color w:val="auto"/>
                <w:kern w:val="0"/>
                <w:szCs w:val="21"/>
                <w:highlight w:val="none"/>
              </w:rPr>
            </w:pPr>
            <w:r>
              <w:rPr>
                <w:rFonts w:hint="eastAsia" w:ascii="宋体" w:hAnsi="宋体" w:cs="宋体"/>
                <w:strike w:val="0"/>
                <w:dstrike w:val="0"/>
                <w:color w:val="auto"/>
                <w:kern w:val="0"/>
                <w:szCs w:val="21"/>
                <w:highlight w:val="none"/>
                <w:u w:val="none"/>
                <w:shd w:val="clear" w:fill="auto"/>
              </w:rPr>
              <w:t>　</w:t>
            </w:r>
          </w:p>
        </w:tc>
      </w:tr>
      <w:tr w14:paraId="57DCAB8F">
        <w:tblPrEx>
          <w:tblCellMar>
            <w:top w:w="0" w:type="dxa"/>
            <w:left w:w="108" w:type="dxa"/>
            <w:bottom w:w="0" w:type="dxa"/>
            <w:right w:w="108" w:type="dxa"/>
          </w:tblCellMar>
        </w:tblPrEx>
        <w:trPr>
          <w:cantSplit/>
          <w:trHeight w:val="285" w:hRule="atLeast"/>
          <w:jc w:val="center"/>
        </w:trPr>
        <w:tc>
          <w:tcPr>
            <w:tcW w:w="314" w:type="pct"/>
            <w:vMerge w:val="continue"/>
            <w:tcBorders>
              <w:top w:val="single" w:color="auto" w:sz="4" w:space="0"/>
              <w:left w:val="single" w:color="auto" w:sz="4" w:space="0"/>
              <w:bottom w:val="single" w:color="000000" w:sz="4" w:space="0"/>
              <w:right w:val="single" w:color="auto" w:sz="4" w:space="0"/>
            </w:tcBorders>
            <w:noWrap w:val="0"/>
            <w:vAlign w:val="center"/>
          </w:tcPr>
          <w:p w14:paraId="10F9B342">
            <w:pPr>
              <w:widowControl/>
              <w:jc w:val="left"/>
              <w:rPr>
                <w:rFonts w:ascii="宋体" w:hAnsi="宋体" w:cs="宋体"/>
                <w:color w:val="auto"/>
                <w:kern w:val="0"/>
                <w:szCs w:val="21"/>
                <w:highlight w:val="none"/>
              </w:rPr>
            </w:pPr>
          </w:p>
        </w:tc>
        <w:tc>
          <w:tcPr>
            <w:tcW w:w="1459" w:type="pct"/>
            <w:vMerge w:val="continue"/>
            <w:tcBorders>
              <w:top w:val="single" w:color="auto" w:sz="4" w:space="0"/>
              <w:left w:val="single" w:color="auto" w:sz="4" w:space="0"/>
              <w:bottom w:val="single" w:color="000000" w:sz="4" w:space="0"/>
              <w:right w:val="single" w:color="auto" w:sz="4" w:space="0"/>
            </w:tcBorders>
            <w:noWrap w:val="0"/>
            <w:vAlign w:val="center"/>
          </w:tcPr>
          <w:p w14:paraId="454C2A30">
            <w:pPr>
              <w:widowControl/>
              <w:jc w:val="left"/>
              <w:rPr>
                <w:rFonts w:ascii="宋体" w:hAnsi="宋体" w:cs="宋体"/>
                <w:color w:val="auto"/>
                <w:kern w:val="0"/>
                <w:szCs w:val="21"/>
                <w:highlight w:val="none"/>
              </w:rPr>
            </w:pPr>
          </w:p>
        </w:tc>
        <w:tc>
          <w:tcPr>
            <w:tcW w:w="412" w:type="pct"/>
            <w:tcBorders>
              <w:top w:val="single" w:color="auto" w:sz="4" w:space="0"/>
              <w:left w:val="nil"/>
              <w:bottom w:val="single" w:color="auto" w:sz="4" w:space="0"/>
              <w:right w:val="single" w:color="auto" w:sz="4" w:space="0"/>
            </w:tcBorders>
            <w:noWrap w:val="0"/>
            <w:vAlign w:val="center"/>
          </w:tcPr>
          <w:p w14:paraId="1441211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审核</w:t>
            </w:r>
          </w:p>
        </w:tc>
        <w:tc>
          <w:tcPr>
            <w:tcW w:w="443" w:type="pct"/>
            <w:tcBorders>
              <w:top w:val="single" w:color="auto" w:sz="4" w:space="0"/>
              <w:left w:val="nil"/>
              <w:bottom w:val="single" w:color="auto" w:sz="4" w:space="0"/>
              <w:right w:val="single" w:color="auto" w:sz="4" w:space="0"/>
            </w:tcBorders>
            <w:noWrap w:val="0"/>
            <w:vAlign w:val="center"/>
          </w:tcPr>
          <w:p w14:paraId="68857DD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编制</w:t>
            </w:r>
          </w:p>
        </w:tc>
        <w:tc>
          <w:tcPr>
            <w:tcW w:w="481" w:type="pct"/>
            <w:tcBorders>
              <w:top w:val="nil"/>
              <w:left w:val="nil"/>
              <w:bottom w:val="single" w:color="auto" w:sz="4" w:space="0"/>
              <w:right w:val="single" w:color="auto" w:sz="4" w:space="0"/>
            </w:tcBorders>
            <w:noWrap w:val="0"/>
            <w:vAlign w:val="center"/>
          </w:tcPr>
          <w:p w14:paraId="4DB1CDB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审核</w:t>
            </w:r>
          </w:p>
        </w:tc>
        <w:tc>
          <w:tcPr>
            <w:tcW w:w="443" w:type="pct"/>
            <w:tcBorders>
              <w:top w:val="nil"/>
              <w:left w:val="nil"/>
              <w:bottom w:val="single" w:color="auto" w:sz="4" w:space="0"/>
              <w:right w:val="single" w:color="auto" w:sz="4" w:space="0"/>
            </w:tcBorders>
            <w:noWrap w:val="0"/>
            <w:vAlign w:val="center"/>
          </w:tcPr>
          <w:p w14:paraId="1652528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编制</w:t>
            </w:r>
          </w:p>
        </w:tc>
        <w:tc>
          <w:tcPr>
            <w:tcW w:w="431" w:type="pct"/>
            <w:tcBorders>
              <w:top w:val="single" w:color="auto" w:sz="4" w:space="0"/>
              <w:left w:val="nil"/>
              <w:bottom w:val="single" w:color="auto" w:sz="4" w:space="0"/>
              <w:right w:val="single" w:color="auto" w:sz="4" w:space="0"/>
            </w:tcBorders>
            <w:noWrap w:val="0"/>
            <w:vAlign w:val="center"/>
          </w:tcPr>
          <w:p w14:paraId="47F69A1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审核</w:t>
            </w:r>
          </w:p>
        </w:tc>
        <w:tc>
          <w:tcPr>
            <w:tcW w:w="456" w:type="pct"/>
            <w:tcBorders>
              <w:top w:val="single" w:color="auto" w:sz="4" w:space="0"/>
              <w:left w:val="nil"/>
              <w:bottom w:val="single" w:color="auto" w:sz="4" w:space="0"/>
              <w:right w:val="single" w:color="auto" w:sz="4" w:space="0"/>
            </w:tcBorders>
            <w:noWrap w:val="0"/>
            <w:vAlign w:val="center"/>
          </w:tcPr>
          <w:p w14:paraId="4DE3853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编制</w:t>
            </w:r>
          </w:p>
        </w:tc>
        <w:tc>
          <w:tcPr>
            <w:tcW w:w="559" w:type="pct"/>
            <w:vMerge w:val="continue"/>
            <w:tcBorders>
              <w:left w:val="nil"/>
              <w:bottom w:val="single" w:color="auto" w:sz="4" w:space="0"/>
              <w:right w:val="single" w:color="auto" w:sz="4" w:space="0"/>
            </w:tcBorders>
            <w:noWrap w:val="0"/>
            <w:vAlign w:val="center"/>
          </w:tcPr>
          <w:p w14:paraId="3073EF40">
            <w:pPr>
              <w:widowControl/>
              <w:jc w:val="center"/>
              <w:rPr>
                <w:rFonts w:ascii="宋体" w:hAnsi="宋体" w:cs="宋体"/>
                <w:color w:val="auto"/>
                <w:kern w:val="0"/>
                <w:szCs w:val="21"/>
                <w:highlight w:val="none"/>
              </w:rPr>
            </w:pPr>
          </w:p>
        </w:tc>
      </w:tr>
      <w:tr w14:paraId="021A7B6E">
        <w:tblPrEx>
          <w:tblCellMar>
            <w:top w:w="0" w:type="dxa"/>
            <w:left w:w="108" w:type="dxa"/>
            <w:bottom w:w="0" w:type="dxa"/>
            <w:right w:w="108" w:type="dxa"/>
          </w:tblCellMar>
        </w:tblPrEx>
        <w:trPr>
          <w:trHeight w:val="570" w:hRule="atLeast"/>
          <w:jc w:val="center"/>
        </w:trPr>
        <w:tc>
          <w:tcPr>
            <w:tcW w:w="314" w:type="pct"/>
            <w:tcBorders>
              <w:top w:val="nil"/>
              <w:left w:val="single" w:color="auto" w:sz="4" w:space="0"/>
              <w:bottom w:val="single" w:color="auto" w:sz="4" w:space="0"/>
              <w:right w:val="single" w:color="auto" w:sz="4" w:space="0"/>
            </w:tcBorders>
            <w:noWrap w:val="0"/>
            <w:vAlign w:val="center"/>
          </w:tcPr>
          <w:p w14:paraId="496A42F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一</w:t>
            </w:r>
          </w:p>
        </w:tc>
        <w:tc>
          <w:tcPr>
            <w:tcW w:w="1459" w:type="pct"/>
            <w:tcBorders>
              <w:top w:val="nil"/>
              <w:left w:val="nil"/>
              <w:bottom w:val="single" w:color="auto" w:sz="4" w:space="0"/>
              <w:right w:val="single" w:color="auto" w:sz="4" w:space="0"/>
            </w:tcBorders>
            <w:noWrap w:val="0"/>
            <w:vAlign w:val="center"/>
          </w:tcPr>
          <w:p w14:paraId="482DFAE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概、预算</w:t>
            </w:r>
            <w:r>
              <w:rPr>
                <w:rFonts w:ascii="宋体" w:hAnsi="宋体" w:cs="宋体"/>
                <w:color w:val="auto"/>
                <w:kern w:val="0"/>
                <w:szCs w:val="21"/>
                <w:highlight w:val="none"/>
              </w:rPr>
              <w:t>(含招标工程量清单)、进度款</w:t>
            </w:r>
          </w:p>
        </w:tc>
        <w:tc>
          <w:tcPr>
            <w:tcW w:w="412" w:type="pct"/>
            <w:tcBorders>
              <w:top w:val="nil"/>
              <w:left w:val="nil"/>
              <w:bottom w:val="single" w:color="auto" w:sz="4" w:space="0"/>
              <w:right w:val="single" w:color="auto" w:sz="4" w:space="0"/>
            </w:tcBorders>
            <w:noWrap w:val="0"/>
            <w:vAlign w:val="center"/>
          </w:tcPr>
          <w:p w14:paraId="5A174490">
            <w:pPr>
              <w:widowControl/>
              <w:jc w:val="center"/>
              <w:rPr>
                <w:rFonts w:ascii="宋体" w:hAnsi="宋体" w:cs="宋体"/>
                <w:b/>
                <w:bCs/>
                <w:color w:val="auto"/>
                <w:kern w:val="0"/>
                <w:szCs w:val="21"/>
                <w:highlight w:val="none"/>
              </w:rPr>
            </w:pPr>
            <w:r>
              <w:rPr>
                <w:rFonts w:hint="eastAsia" w:ascii="宋体" w:hAnsi="宋体" w:cs="宋体"/>
                <w:b/>
                <w:bCs/>
                <w:strike w:val="0"/>
                <w:dstrike w:val="0"/>
                <w:color w:val="auto"/>
                <w:kern w:val="0"/>
                <w:szCs w:val="21"/>
                <w:highlight w:val="none"/>
                <w:u w:val="none"/>
                <w:shd w:val="clear" w:fill="auto"/>
              </w:rPr>
              <w:t>　</w:t>
            </w:r>
          </w:p>
        </w:tc>
        <w:tc>
          <w:tcPr>
            <w:tcW w:w="443" w:type="pct"/>
            <w:tcBorders>
              <w:top w:val="nil"/>
              <w:left w:val="nil"/>
              <w:bottom w:val="single" w:color="auto" w:sz="4" w:space="0"/>
              <w:right w:val="single" w:color="auto" w:sz="4" w:space="0"/>
            </w:tcBorders>
            <w:noWrap w:val="0"/>
            <w:vAlign w:val="center"/>
          </w:tcPr>
          <w:p w14:paraId="24C1ECD1">
            <w:pPr>
              <w:widowControl/>
              <w:jc w:val="center"/>
              <w:rPr>
                <w:rFonts w:ascii="宋体" w:hAnsi="宋体" w:cs="宋体"/>
                <w:b/>
                <w:bCs/>
                <w:color w:val="auto"/>
                <w:kern w:val="0"/>
                <w:szCs w:val="21"/>
                <w:highlight w:val="none"/>
              </w:rPr>
            </w:pPr>
            <w:r>
              <w:rPr>
                <w:rFonts w:hint="eastAsia" w:ascii="宋体" w:hAnsi="宋体" w:cs="宋体"/>
                <w:b/>
                <w:bCs/>
                <w:strike w:val="0"/>
                <w:dstrike w:val="0"/>
                <w:color w:val="auto"/>
                <w:kern w:val="0"/>
                <w:szCs w:val="21"/>
                <w:highlight w:val="none"/>
                <w:u w:val="none"/>
                <w:shd w:val="clear" w:fill="auto"/>
              </w:rPr>
              <w:t>　</w:t>
            </w:r>
          </w:p>
        </w:tc>
        <w:tc>
          <w:tcPr>
            <w:tcW w:w="481" w:type="pct"/>
            <w:tcBorders>
              <w:top w:val="nil"/>
              <w:left w:val="nil"/>
              <w:bottom w:val="single" w:color="auto" w:sz="4" w:space="0"/>
              <w:right w:val="single" w:color="auto" w:sz="4" w:space="0"/>
            </w:tcBorders>
            <w:noWrap w:val="0"/>
            <w:vAlign w:val="center"/>
          </w:tcPr>
          <w:p w14:paraId="06FCE902">
            <w:pPr>
              <w:widowControl/>
              <w:jc w:val="center"/>
              <w:rPr>
                <w:rFonts w:ascii="宋体" w:hAnsi="宋体" w:cs="宋体"/>
                <w:b/>
                <w:bCs/>
                <w:color w:val="auto"/>
                <w:kern w:val="0"/>
                <w:szCs w:val="21"/>
                <w:highlight w:val="none"/>
              </w:rPr>
            </w:pPr>
            <w:r>
              <w:rPr>
                <w:rFonts w:hint="eastAsia" w:ascii="宋体" w:hAnsi="宋体" w:cs="宋体"/>
                <w:b/>
                <w:bCs/>
                <w:strike w:val="0"/>
                <w:dstrike w:val="0"/>
                <w:color w:val="auto"/>
                <w:kern w:val="0"/>
                <w:szCs w:val="21"/>
                <w:highlight w:val="none"/>
                <w:u w:val="none"/>
                <w:shd w:val="clear" w:fill="auto"/>
              </w:rPr>
              <w:t>　</w:t>
            </w:r>
          </w:p>
        </w:tc>
        <w:tc>
          <w:tcPr>
            <w:tcW w:w="443" w:type="pct"/>
            <w:tcBorders>
              <w:top w:val="nil"/>
              <w:left w:val="nil"/>
              <w:bottom w:val="single" w:color="auto" w:sz="4" w:space="0"/>
              <w:right w:val="single" w:color="auto" w:sz="4" w:space="0"/>
            </w:tcBorders>
            <w:noWrap w:val="0"/>
            <w:vAlign w:val="center"/>
          </w:tcPr>
          <w:p w14:paraId="4435A6AA">
            <w:pPr>
              <w:widowControl/>
              <w:jc w:val="center"/>
              <w:rPr>
                <w:rFonts w:ascii="宋体" w:hAnsi="宋体" w:cs="宋体"/>
                <w:b/>
                <w:bCs/>
                <w:color w:val="auto"/>
                <w:kern w:val="0"/>
                <w:szCs w:val="21"/>
                <w:highlight w:val="none"/>
              </w:rPr>
            </w:pPr>
            <w:r>
              <w:rPr>
                <w:rFonts w:hint="eastAsia" w:ascii="宋体" w:hAnsi="宋体" w:cs="宋体"/>
                <w:b/>
                <w:bCs/>
                <w:strike w:val="0"/>
                <w:dstrike w:val="0"/>
                <w:color w:val="auto"/>
                <w:kern w:val="0"/>
                <w:szCs w:val="21"/>
                <w:highlight w:val="none"/>
                <w:u w:val="none"/>
                <w:shd w:val="clear" w:fill="auto"/>
              </w:rPr>
              <w:t>　</w:t>
            </w:r>
          </w:p>
        </w:tc>
        <w:tc>
          <w:tcPr>
            <w:tcW w:w="431" w:type="pct"/>
            <w:tcBorders>
              <w:top w:val="nil"/>
              <w:left w:val="nil"/>
              <w:bottom w:val="single" w:color="auto" w:sz="4" w:space="0"/>
              <w:right w:val="single" w:color="auto" w:sz="4" w:space="0"/>
            </w:tcBorders>
            <w:noWrap w:val="0"/>
            <w:vAlign w:val="center"/>
          </w:tcPr>
          <w:p w14:paraId="17A69D78">
            <w:pPr>
              <w:widowControl/>
              <w:jc w:val="center"/>
              <w:rPr>
                <w:rFonts w:ascii="宋体" w:hAnsi="宋体" w:cs="宋体"/>
                <w:b/>
                <w:bCs/>
                <w:color w:val="auto"/>
                <w:kern w:val="0"/>
                <w:szCs w:val="21"/>
                <w:highlight w:val="none"/>
              </w:rPr>
            </w:pPr>
            <w:r>
              <w:rPr>
                <w:rFonts w:hint="eastAsia" w:ascii="宋体" w:hAnsi="宋体" w:cs="宋体"/>
                <w:b/>
                <w:bCs/>
                <w:strike w:val="0"/>
                <w:dstrike w:val="0"/>
                <w:color w:val="auto"/>
                <w:kern w:val="0"/>
                <w:szCs w:val="21"/>
                <w:highlight w:val="none"/>
                <w:u w:val="none"/>
                <w:shd w:val="clear" w:fill="auto"/>
              </w:rPr>
              <w:t>　</w:t>
            </w:r>
          </w:p>
        </w:tc>
        <w:tc>
          <w:tcPr>
            <w:tcW w:w="456" w:type="pct"/>
            <w:tcBorders>
              <w:top w:val="nil"/>
              <w:left w:val="nil"/>
              <w:bottom w:val="single" w:color="auto" w:sz="4" w:space="0"/>
              <w:right w:val="single" w:color="auto" w:sz="4" w:space="0"/>
            </w:tcBorders>
            <w:noWrap w:val="0"/>
            <w:vAlign w:val="center"/>
          </w:tcPr>
          <w:p w14:paraId="4623E70F">
            <w:pPr>
              <w:widowControl/>
              <w:jc w:val="center"/>
              <w:rPr>
                <w:rFonts w:ascii="宋体" w:hAnsi="宋体" w:cs="宋体"/>
                <w:b/>
                <w:bCs/>
                <w:color w:val="auto"/>
                <w:kern w:val="0"/>
                <w:szCs w:val="21"/>
                <w:highlight w:val="none"/>
              </w:rPr>
            </w:pPr>
            <w:r>
              <w:rPr>
                <w:rFonts w:hint="eastAsia" w:ascii="宋体" w:hAnsi="宋体" w:cs="宋体"/>
                <w:b/>
                <w:bCs/>
                <w:strike w:val="0"/>
                <w:dstrike w:val="0"/>
                <w:color w:val="auto"/>
                <w:kern w:val="0"/>
                <w:szCs w:val="21"/>
                <w:highlight w:val="none"/>
                <w:u w:val="none"/>
                <w:shd w:val="clear" w:fill="auto"/>
              </w:rPr>
              <w:t>　</w:t>
            </w:r>
          </w:p>
        </w:tc>
        <w:tc>
          <w:tcPr>
            <w:tcW w:w="559" w:type="pct"/>
            <w:tcBorders>
              <w:top w:val="nil"/>
              <w:left w:val="nil"/>
              <w:bottom w:val="single" w:color="auto" w:sz="4" w:space="0"/>
              <w:right w:val="single" w:color="auto" w:sz="4" w:space="0"/>
            </w:tcBorders>
            <w:noWrap w:val="0"/>
            <w:vAlign w:val="center"/>
          </w:tcPr>
          <w:p w14:paraId="1603DB34">
            <w:pPr>
              <w:widowControl/>
              <w:jc w:val="center"/>
              <w:rPr>
                <w:rFonts w:ascii="宋体" w:hAnsi="宋体" w:cs="宋体"/>
                <w:color w:val="auto"/>
                <w:kern w:val="0"/>
                <w:szCs w:val="21"/>
                <w:highlight w:val="none"/>
              </w:rPr>
            </w:pPr>
            <w:r>
              <w:rPr>
                <w:rFonts w:hint="eastAsia" w:ascii="宋体" w:hAnsi="宋体" w:cs="宋体"/>
                <w:strike w:val="0"/>
                <w:dstrike w:val="0"/>
                <w:color w:val="auto"/>
                <w:kern w:val="0"/>
                <w:szCs w:val="21"/>
                <w:highlight w:val="none"/>
                <w:u w:val="none"/>
                <w:shd w:val="clear" w:fill="auto"/>
              </w:rPr>
              <w:t>　</w:t>
            </w:r>
          </w:p>
        </w:tc>
      </w:tr>
      <w:tr w14:paraId="57CDD356">
        <w:tblPrEx>
          <w:tblCellMar>
            <w:top w:w="0" w:type="dxa"/>
            <w:left w:w="108" w:type="dxa"/>
            <w:bottom w:w="0" w:type="dxa"/>
            <w:right w:w="108" w:type="dxa"/>
          </w:tblCellMar>
        </w:tblPrEx>
        <w:trPr>
          <w:trHeight w:val="285" w:hRule="atLeast"/>
          <w:jc w:val="center"/>
        </w:trPr>
        <w:tc>
          <w:tcPr>
            <w:tcW w:w="314" w:type="pct"/>
            <w:tcBorders>
              <w:top w:val="nil"/>
              <w:left w:val="single" w:color="auto" w:sz="4" w:space="0"/>
              <w:bottom w:val="single" w:color="auto" w:sz="4" w:space="0"/>
              <w:right w:val="single" w:color="auto" w:sz="4" w:space="0"/>
            </w:tcBorders>
            <w:noWrap w:val="0"/>
            <w:vAlign w:val="center"/>
          </w:tcPr>
          <w:p w14:paraId="3E505B44">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1459" w:type="pct"/>
            <w:tcBorders>
              <w:top w:val="nil"/>
              <w:left w:val="nil"/>
              <w:bottom w:val="single" w:color="auto" w:sz="4" w:space="0"/>
              <w:right w:val="single" w:color="auto" w:sz="4" w:space="0"/>
            </w:tcBorders>
            <w:noWrap w:val="0"/>
            <w:vAlign w:val="center"/>
          </w:tcPr>
          <w:p w14:paraId="113E48B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投资</w:t>
            </w:r>
            <w:r>
              <w:rPr>
                <w:rFonts w:ascii="宋体" w:hAnsi="宋体" w:cs="宋体"/>
                <w:color w:val="auto"/>
                <w:kern w:val="0"/>
                <w:szCs w:val="21"/>
                <w:highlight w:val="none"/>
              </w:rPr>
              <w:t>500万元以内</w:t>
            </w:r>
          </w:p>
        </w:tc>
        <w:tc>
          <w:tcPr>
            <w:tcW w:w="412" w:type="pct"/>
            <w:tcBorders>
              <w:top w:val="nil"/>
              <w:left w:val="nil"/>
              <w:bottom w:val="single" w:color="auto" w:sz="4" w:space="0"/>
              <w:right w:val="single" w:color="auto" w:sz="4" w:space="0"/>
            </w:tcBorders>
            <w:noWrap w:val="0"/>
            <w:vAlign w:val="center"/>
          </w:tcPr>
          <w:p w14:paraId="4AA53A72">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6</w:t>
            </w:r>
          </w:p>
        </w:tc>
        <w:tc>
          <w:tcPr>
            <w:tcW w:w="443" w:type="pct"/>
            <w:tcBorders>
              <w:top w:val="nil"/>
              <w:left w:val="nil"/>
              <w:bottom w:val="single" w:color="auto" w:sz="4" w:space="0"/>
              <w:right w:val="single" w:color="auto" w:sz="4" w:space="0"/>
            </w:tcBorders>
            <w:noWrap w:val="0"/>
            <w:vAlign w:val="center"/>
          </w:tcPr>
          <w:p w14:paraId="4C8304FD">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7</w:t>
            </w:r>
          </w:p>
        </w:tc>
        <w:tc>
          <w:tcPr>
            <w:tcW w:w="481" w:type="pct"/>
            <w:tcBorders>
              <w:top w:val="nil"/>
              <w:left w:val="nil"/>
              <w:bottom w:val="single" w:color="auto" w:sz="4" w:space="0"/>
              <w:right w:val="single" w:color="auto" w:sz="4" w:space="0"/>
            </w:tcBorders>
            <w:noWrap w:val="0"/>
            <w:vAlign w:val="center"/>
          </w:tcPr>
          <w:p w14:paraId="1C6FCFBD">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7</w:t>
            </w:r>
          </w:p>
        </w:tc>
        <w:tc>
          <w:tcPr>
            <w:tcW w:w="443" w:type="pct"/>
            <w:tcBorders>
              <w:top w:val="nil"/>
              <w:left w:val="nil"/>
              <w:bottom w:val="single" w:color="auto" w:sz="4" w:space="0"/>
              <w:right w:val="single" w:color="auto" w:sz="4" w:space="0"/>
            </w:tcBorders>
            <w:noWrap w:val="0"/>
            <w:vAlign w:val="center"/>
          </w:tcPr>
          <w:p w14:paraId="653487AB">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8</w:t>
            </w:r>
          </w:p>
        </w:tc>
        <w:tc>
          <w:tcPr>
            <w:tcW w:w="431" w:type="pct"/>
            <w:tcBorders>
              <w:top w:val="nil"/>
              <w:left w:val="nil"/>
              <w:bottom w:val="single" w:color="auto" w:sz="4" w:space="0"/>
              <w:right w:val="single" w:color="auto" w:sz="4" w:space="0"/>
            </w:tcBorders>
            <w:noWrap w:val="0"/>
            <w:vAlign w:val="center"/>
          </w:tcPr>
          <w:p w14:paraId="16F5B9BF">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8</w:t>
            </w:r>
          </w:p>
        </w:tc>
        <w:tc>
          <w:tcPr>
            <w:tcW w:w="456" w:type="pct"/>
            <w:tcBorders>
              <w:top w:val="nil"/>
              <w:left w:val="nil"/>
              <w:bottom w:val="single" w:color="auto" w:sz="4" w:space="0"/>
              <w:right w:val="single" w:color="auto" w:sz="4" w:space="0"/>
            </w:tcBorders>
            <w:noWrap w:val="0"/>
            <w:vAlign w:val="center"/>
          </w:tcPr>
          <w:p w14:paraId="7CAD94C0">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8</w:t>
            </w:r>
          </w:p>
        </w:tc>
        <w:tc>
          <w:tcPr>
            <w:tcW w:w="559" w:type="pct"/>
            <w:tcBorders>
              <w:top w:val="nil"/>
              <w:left w:val="nil"/>
              <w:bottom w:val="single" w:color="auto" w:sz="4" w:space="0"/>
              <w:right w:val="single" w:color="auto" w:sz="4" w:space="0"/>
            </w:tcBorders>
            <w:noWrap w:val="0"/>
            <w:vAlign w:val="center"/>
          </w:tcPr>
          <w:p w14:paraId="079FF84B">
            <w:pPr>
              <w:widowControl/>
              <w:jc w:val="center"/>
              <w:rPr>
                <w:rFonts w:ascii="宋体" w:hAnsi="宋体" w:cs="宋体"/>
                <w:color w:val="auto"/>
                <w:kern w:val="0"/>
                <w:szCs w:val="21"/>
                <w:highlight w:val="none"/>
              </w:rPr>
            </w:pPr>
            <w:r>
              <w:rPr>
                <w:rFonts w:hint="eastAsia" w:ascii="宋体" w:hAnsi="宋体" w:cs="宋体"/>
                <w:strike w:val="0"/>
                <w:dstrike w:val="0"/>
                <w:color w:val="auto"/>
                <w:kern w:val="0"/>
                <w:szCs w:val="21"/>
                <w:highlight w:val="none"/>
                <w:u w:val="none"/>
                <w:shd w:val="clear" w:fill="auto"/>
              </w:rPr>
              <w:t>　</w:t>
            </w:r>
          </w:p>
        </w:tc>
      </w:tr>
      <w:tr w14:paraId="348E137F">
        <w:tblPrEx>
          <w:tblCellMar>
            <w:top w:w="0" w:type="dxa"/>
            <w:left w:w="108" w:type="dxa"/>
            <w:bottom w:w="0" w:type="dxa"/>
            <w:right w:w="108" w:type="dxa"/>
          </w:tblCellMar>
        </w:tblPrEx>
        <w:trPr>
          <w:trHeight w:val="351" w:hRule="atLeast"/>
          <w:jc w:val="center"/>
        </w:trPr>
        <w:tc>
          <w:tcPr>
            <w:tcW w:w="314" w:type="pct"/>
            <w:tcBorders>
              <w:top w:val="nil"/>
              <w:left w:val="single" w:color="auto" w:sz="4" w:space="0"/>
              <w:bottom w:val="single" w:color="auto" w:sz="4" w:space="0"/>
              <w:right w:val="single" w:color="auto" w:sz="4" w:space="0"/>
            </w:tcBorders>
            <w:noWrap w:val="0"/>
            <w:vAlign w:val="center"/>
          </w:tcPr>
          <w:p w14:paraId="628A8675">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459" w:type="pct"/>
            <w:tcBorders>
              <w:top w:val="nil"/>
              <w:left w:val="nil"/>
              <w:bottom w:val="single" w:color="auto" w:sz="4" w:space="0"/>
              <w:right w:val="single" w:color="auto" w:sz="4" w:space="0"/>
            </w:tcBorders>
            <w:noWrap w:val="0"/>
            <w:vAlign w:val="center"/>
          </w:tcPr>
          <w:p w14:paraId="45AA4B7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投资</w:t>
            </w:r>
            <w:r>
              <w:rPr>
                <w:rFonts w:ascii="宋体" w:hAnsi="宋体" w:cs="宋体"/>
                <w:color w:val="auto"/>
                <w:kern w:val="0"/>
                <w:szCs w:val="21"/>
                <w:highlight w:val="none"/>
              </w:rPr>
              <w:t>500-2500万元</w:t>
            </w:r>
          </w:p>
        </w:tc>
        <w:tc>
          <w:tcPr>
            <w:tcW w:w="412" w:type="pct"/>
            <w:tcBorders>
              <w:top w:val="nil"/>
              <w:left w:val="nil"/>
              <w:bottom w:val="single" w:color="auto" w:sz="4" w:space="0"/>
              <w:right w:val="single" w:color="auto" w:sz="4" w:space="0"/>
            </w:tcBorders>
            <w:noWrap w:val="0"/>
            <w:vAlign w:val="center"/>
          </w:tcPr>
          <w:p w14:paraId="55052A11">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9</w:t>
            </w:r>
          </w:p>
        </w:tc>
        <w:tc>
          <w:tcPr>
            <w:tcW w:w="443" w:type="pct"/>
            <w:tcBorders>
              <w:top w:val="nil"/>
              <w:left w:val="nil"/>
              <w:bottom w:val="single" w:color="auto" w:sz="4" w:space="0"/>
              <w:right w:val="single" w:color="auto" w:sz="4" w:space="0"/>
            </w:tcBorders>
            <w:noWrap w:val="0"/>
            <w:vAlign w:val="center"/>
          </w:tcPr>
          <w:p w14:paraId="4B1F51CC">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10</w:t>
            </w:r>
          </w:p>
        </w:tc>
        <w:tc>
          <w:tcPr>
            <w:tcW w:w="481" w:type="pct"/>
            <w:tcBorders>
              <w:top w:val="nil"/>
              <w:left w:val="nil"/>
              <w:bottom w:val="single" w:color="auto" w:sz="4" w:space="0"/>
              <w:right w:val="single" w:color="auto" w:sz="4" w:space="0"/>
            </w:tcBorders>
            <w:noWrap w:val="0"/>
            <w:vAlign w:val="center"/>
          </w:tcPr>
          <w:p w14:paraId="0076DEE2">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10</w:t>
            </w:r>
          </w:p>
        </w:tc>
        <w:tc>
          <w:tcPr>
            <w:tcW w:w="443" w:type="pct"/>
            <w:tcBorders>
              <w:top w:val="nil"/>
              <w:left w:val="nil"/>
              <w:bottom w:val="single" w:color="auto" w:sz="4" w:space="0"/>
              <w:right w:val="single" w:color="auto" w:sz="4" w:space="0"/>
            </w:tcBorders>
            <w:noWrap w:val="0"/>
            <w:vAlign w:val="center"/>
          </w:tcPr>
          <w:p w14:paraId="16C5A631">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10</w:t>
            </w:r>
          </w:p>
        </w:tc>
        <w:tc>
          <w:tcPr>
            <w:tcW w:w="431" w:type="pct"/>
            <w:tcBorders>
              <w:top w:val="nil"/>
              <w:left w:val="nil"/>
              <w:bottom w:val="single" w:color="auto" w:sz="4" w:space="0"/>
              <w:right w:val="single" w:color="auto" w:sz="4" w:space="0"/>
            </w:tcBorders>
            <w:noWrap w:val="0"/>
            <w:vAlign w:val="center"/>
          </w:tcPr>
          <w:p w14:paraId="12C40681">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11</w:t>
            </w:r>
          </w:p>
        </w:tc>
        <w:tc>
          <w:tcPr>
            <w:tcW w:w="456" w:type="pct"/>
            <w:tcBorders>
              <w:top w:val="nil"/>
              <w:left w:val="nil"/>
              <w:bottom w:val="single" w:color="auto" w:sz="4" w:space="0"/>
              <w:right w:val="single" w:color="auto" w:sz="4" w:space="0"/>
            </w:tcBorders>
            <w:noWrap w:val="0"/>
            <w:vAlign w:val="center"/>
          </w:tcPr>
          <w:p w14:paraId="6D23F586">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12</w:t>
            </w:r>
          </w:p>
        </w:tc>
        <w:tc>
          <w:tcPr>
            <w:tcW w:w="559" w:type="pct"/>
            <w:tcBorders>
              <w:top w:val="nil"/>
              <w:left w:val="nil"/>
              <w:bottom w:val="single" w:color="auto" w:sz="4" w:space="0"/>
              <w:right w:val="single" w:color="auto" w:sz="4" w:space="0"/>
            </w:tcBorders>
            <w:noWrap w:val="0"/>
            <w:vAlign w:val="center"/>
          </w:tcPr>
          <w:p w14:paraId="475DA244">
            <w:pPr>
              <w:widowControl/>
              <w:jc w:val="center"/>
              <w:rPr>
                <w:rFonts w:ascii="宋体" w:hAnsi="宋体" w:cs="宋体"/>
                <w:color w:val="auto"/>
                <w:kern w:val="0"/>
                <w:szCs w:val="21"/>
                <w:highlight w:val="none"/>
              </w:rPr>
            </w:pPr>
            <w:r>
              <w:rPr>
                <w:rFonts w:hint="eastAsia" w:ascii="宋体" w:hAnsi="宋体" w:cs="宋体"/>
                <w:strike w:val="0"/>
                <w:dstrike w:val="0"/>
                <w:color w:val="auto"/>
                <w:kern w:val="0"/>
                <w:szCs w:val="21"/>
                <w:highlight w:val="none"/>
                <w:u w:val="none"/>
                <w:shd w:val="clear" w:fill="auto"/>
              </w:rPr>
              <w:t>　</w:t>
            </w:r>
          </w:p>
        </w:tc>
      </w:tr>
      <w:tr w14:paraId="2B008E9D">
        <w:tblPrEx>
          <w:tblCellMar>
            <w:top w:w="0" w:type="dxa"/>
            <w:left w:w="108" w:type="dxa"/>
            <w:bottom w:w="0" w:type="dxa"/>
            <w:right w:w="108" w:type="dxa"/>
          </w:tblCellMar>
        </w:tblPrEx>
        <w:trPr>
          <w:trHeight w:val="285" w:hRule="atLeast"/>
          <w:jc w:val="center"/>
        </w:trPr>
        <w:tc>
          <w:tcPr>
            <w:tcW w:w="314" w:type="pct"/>
            <w:tcBorders>
              <w:top w:val="nil"/>
              <w:left w:val="single" w:color="auto" w:sz="4" w:space="0"/>
              <w:bottom w:val="single" w:color="auto" w:sz="4" w:space="0"/>
              <w:right w:val="single" w:color="auto" w:sz="4" w:space="0"/>
            </w:tcBorders>
            <w:noWrap w:val="0"/>
            <w:vAlign w:val="center"/>
          </w:tcPr>
          <w:p w14:paraId="0233BC9B">
            <w:pPr>
              <w:widowControl/>
              <w:jc w:val="center"/>
              <w:rPr>
                <w:rFonts w:ascii="宋体" w:hAnsi="宋体" w:cs="宋体"/>
                <w:color w:val="auto"/>
                <w:kern w:val="0"/>
                <w:szCs w:val="21"/>
                <w:highlight w:val="none"/>
              </w:rPr>
            </w:pPr>
            <w:r>
              <w:rPr>
                <w:rFonts w:ascii="宋体" w:hAnsi="宋体" w:cs="宋体"/>
                <w:color w:val="auto"/>
                <w:kern w:val="0"/>
                <w:szCs w:val="21"/>
                <w:highlight w:val="none"/>
              </w:rPr>
              <w:t>3</w:t>
            </w:r>
          </w:p>
        </w:tc>
        <w:tc>
          <w:tcPr>
            <w:tcW w:w="1459" w:type="pct"/>
            <w:tcBorders>
              <w:top w:val="nil"/>
              <w:left w:val="nil"/>
              <w:bottom w:val="single" w:color="auto" w:sz="4" w:space="0"/>
              <w:right w:val="single" w:color="auto" w:sz="4" w:space="0"/>
            </w:tcBorders>
            <w:noWrap w:val="0"/>
            <w:vAlign w:val="center"/>
          </w:tcPr>
          <w:p w14:paraId="25AB939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投资</w:t>
            </w:r>
            <w:r>
              <w:rPr>
                <w:rFonts w:ascii="宋体" w:hAnsi="宋体" w:cs="宋体"/>
                <w:color w:val="auto"/>
                <w:kern w:val="0"/>
                <w:szCs w:val="21"/>
                <w:highlight w:val="none"/>
              </w:rPr>
              <w:t>2500-5000万元</w:t>
            </w:r>
          </w:p>
        </w:tc>
        <w:tc>
          <w:tcPr>
            <w:tcW w:w="412" w:type="pct"/>
            <w:tcBorders>
              <w:top w:val="nil"/>
              <w:left w:val="nil"/>
              <w:bottom w:val="single" w:color="auto" w:sz="4" w:space="0"/>
              <w:right w:val="single" w:color="auto" w:sz="4" w:space="0"/>
            </w:tcBorders>
            <w:noWrap w:val="0"/>
            <w:vAlign w:val="center"/>
          </w:tcPr>
          <w:p w14:paraId="7DA149C7">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11</w:t>
            </w:r>
          </w:p>
        </w:tc>
        <w:tc>
          <w:tcPr>
            <w:tcW w:w="443" w:type="pct"/>
            <w:tcBorders>
              <w:top w:val="nil"/>
              <w:left w:val="nil"/>
              <w:bottom w:val="single" w:color="auto" w:sz="4" w:space="0"/>
              <w:right w:val="single" w:color="auto" w:sz="4" w:space="0"/>
            </w:tcBorders>
            <w:noWrap w:val="0"/>
            <w:vAlign w:val="center"/>
          </w:tcPr>
          <w:p w14:paraId="2F8DE780">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12</w:t>
            </w:r>
          </w:p>
        </w:tc>
        <w:tc>
          <w:tcPr>
            <w:tcW w:w="481" w:type="pct"/>
            <w:tcBorders>
              <w:top w:val="nil"/>
              <w:left w:val="nil"/>
              <w:bottom w:val="single" w:color="auto" w:sz="4" w:space="0"/>
              <w:right w:val="single" w:color="auto" w:sz="4" w:space="0"/>
            </w:tcBorders>
            <w:noWrap w:val="0"/>
            <w:vAlign w:val="center"/>
          </w:tcPr>
          <w:p w14:paraId="612BA93D">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12</w:t>
            </w:r>
          </w:p>
        </w:tc>
        <w:tc>
          <w:tcPr>
            <w:tcW w:w="443" w:type="pct"/>
            <w:tcBorders>
              <w:top w:val="nil"/>
              <w:left w:val="nil"/>
              <w:bottom w:val="single" w:color="auto" w:sz="4" w:space="0"/>
              <w:right w:val="single" w:color="auto" w:sz="4" w:space="0"/>
            </w:tcBorders>
            <w:noWrap w:val="0"/>
            <w:vAlign w:val="center"/>
          </w:tcPr>
          <w:p w14:paraId="4D85D675">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12</w:t>
            </w:r>
          </w:p>
        </w:tc>
        <w:tc>
          <w:tcPr>
            <w:tcW w:w="431" w:type="pct"/>
            <w:tcBorders>
              <w:top w:val="nil"/>
              <w:left w:val="nil"/>
              <w:bottom w:val="single" w:color="auto" w:sz="4" w:space="0"/>
              <w:right w:val="single" w:color="auto" w:sz="4" w:space="0"/>
            </w:tcBorders>
            <w:noWrap w:val="0"/>
            <w:vAlign w:val="center"/>
          </w:tcPr>
          <w:p w14:paraId="67140E5B">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13</w:t>
            </w:r>
          </w:p>
        </w:tc>
        <w:tc>
          <w:tcPr>
            <w:tcW w:w="456" w:type="pct"/>
            <w:tcBorders>
              <w:top w:val="nil"/>
              <w:left w:val="nil"/>
              <w:bottom w:val="single" w:color="auto" w:sz="4" w:space="0"/>
              <w:right w:val="single" w:color="auto" w:sz="4" w:space="0"/>
            </w:tcBorders>
            <w:noWrap w:val="0"/>
            <w:vAlign w:val="center"/>
          </w:tcPr>
          <w:p w14:paraId="1D10868D">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15</w:t>
            </w:r>
          </w:p>
        </w:tc>
        <w:tc>
          <w:tcPr>
            <w:tcW w:w="559" w:type="pct"/>
            <w:tcBorders>
              <w:top w:val="nil"/>
              <w:left w:val="nil"/>
              <w:bottom w:val="single" w:color="auto" w:sz="4" w:space="0"/>
              <w:right w:val="single" w:color="auto" w:sz="4" w:space="0"/>
            </w:tcBorders>
            <w:noWrap w:val="0"/>
            <w:vAlign w:val="center"/>
          </w:tcPr>
          <w:p w14:paraId="162A5C20">
            <w:pPr>
              <w:widowControl/>
              <w:jc w:val="center"/>
              <w:rPr>
                <w:rFonts w:ascii="宋体" w:hAnsi="宋体" w:cs="宋体"/>
                <w:color w:val="auto"/>
                <w:kern w:val="0"/>
                <w:szCs w:val="21"/>
                <w:highlight w:val="none"/>
              </w:rPr>
            </w:pPr>
            <w:r>
              <w:rPr>
                <w:rFonts w:hint="eastAsia" w:ascii="宋体" w:hAnsi="宋体" w:cs="宋体"/>
                <w:strike w:val="0"/>
                <w:dstrike w:val="0"/>
                <w:color w:val="auto"/>
                <w:kern w:val="0"/>
                <w:szCs w:val="21"/>
                <w:highlight w:val="none"/>
                <w:u w:val="none"/>
                <w:shd w:val="clear" w:fill="auto"/>
              </w:rPr>
              <w:t>　</w:t>
            </w:r>
          </w:p>
        </w:tc>
      </w:tr>
      <w:tr w14:paraId="2318A153">
        <w:tblPrEx>
          <w:tblCellMar>
            <w:top w:w="0" w:type="dxa"/>
            <w:left w:w="108" w:type="dxa"/>
            <w:bottom w:w="0" w:type="dxa"/>
            <w:right w:w="108" w:type="dxa"/>
          </w:tblCellMar>
        </w:tblPrEx>
        <w:trPr>
          <w:trHeight w:val="285" w:hRule="atLeast"/>
          <w:jc w:val="center"/>
        </w:trPr>
        <w:tc>
          <w:tcPr>
            <w:tcW w:w="314" w:type="pct"/>
            <w:tcBorders>
              <w:top w:val="nil"/>
              <w:left w:val="single" w:color="auto" w:sz="4" w:space="0"/>
              <w:bottom w:val="single" w:color="auto" w:sz="4" w:space="0"/>
              <w:right w:val="single" w:color="auto" w:sz="4" w:space="0"/>
            </w:tcBorders>
            <w:noWrap w:val="0"/>
            <w:vAlign w:val="center"/>
          </w:tcPr>
          <w:p w14:paraId="02035144">
            <w:pPr>
              <w:widowControl/>
              <w:jc w:val="center"/>
              <w:rPr>
                <w:rFonts w:ascii="宋体" w:hAnsi="宋体" w:cs="宋体"/>
                <w:color w:val="auto"/>
                <w:kern w:val="0"/>
                <w:szCs w:val="21"/>
                <w:highlight w:val="none"/>
              </w:rPr>
            </w:pPr>
            <w:r>
              <w:rPr>
                <w:rFonts w:ascii="宋体" w:hAnsi="宋体" w:cs="宋体"/>
                <w:color w:val="auto"/>
                <w:kern w:val="0"/>
                <w:szCs w:val="21"/>
                <w:highlight w:val="none"/>
              </w:rPr>
              <w:t>4</w:t>
            </w:r>
          </w:p>
        </w:tc>
        <w:tc>
          <w:tcPr>
            <w:tcW w:w="1459" w:type="pct"/>
            <w:tcBorders>
              <w:top w:val="nil"/>
              <w:left w:val="nil"/>
              <w:bottom w:val="single" w:color="auto" w:sz="4" w:space="0"/>
              <w:right w:val="single" w:color="auto" w:sz="4" w:space="0"/>
            </w:tcBorders>
            <w:noWrap w:val="0"/>
            <w:vAlign w:val="center"/>
          </w:tcPr>
          <w:p w14:paraId="5BF5686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投资</w:t>
            </w:r>
            <w:r>
              <w:rPr>
                <w:rFonts w:ascii="宋体" w:hAnsi="宋体" w:cs="宋体"/>
                <w:color w:val="auto"/>
                <w:kern w:val="0"/>
                <w:szCs w:val="21"/>
                <w:highlight w:val="none"/>
              </w:rPr>
              <w:t>5000-7500万元</w:t>
            </w:r>
          </w:p>
        </w:tc>
        <w:tc>
          <w:tcPr>
            <w:tcW w:w="412" w:type="pct"/>
            <w:tcBorders>
              <w:top w:val="nil"/>
              <w:left w:val="nil"/>
              <w:bottom w:val="single" w:color="auto" w:sz="4" w:space="0"/>
              <w:right w:val="single" w:color="auto" w:sz="4" w:space="0"/>
            </w:tcBorders>
            <w:noWrap w:val="0"/>
            <w:vAlign w:val="center"/>
          </w:tcPr>
          <w:p w14:paraId="7CE50030">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11</w:t>
            </w:r>
          </w:p>
        </w:tc>
        <w:tc>
          <w:tcPr>
            <w:tcW w:w="443" w:type="pct"/>
            <w:tcBorders>
              <w:top w:val="nil"/>
              <w:left w:val="nil"/>
              <w:bottom w:val="single" w:color="auto" w:sz="4" w:space="0"/>
              <w:right w:val="single" w:color="auto" w:sz="4" w:space="0"/>
            </w:tcBorders>
            <w:noWrap w:val="0"/>
            <w:vAlign w:val="center"/>
          </w:tcPr>
          <w:p w14:paraId="25BF2A8D">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13</w:t>
            </w:r>
          </w:p>
        </w:tc>
        <w:tc>
          <w:tcPr>
            <w:tcW w:w="481" w:type="pct"/>
            <w:tcBorders>
              <w:top w:val="nil"/>
              <w:left w:val="nil"/>
              <w:bottom w:val="single" w:color="auto" w:sz="4" w:space="0"/>
              <w:right w:val="single" w:color="auto" w:sz="4" w:space="0"/>
            </w:tcBorders>
            <w:noWrap w:val="0"/>
            <w:vAlign w:val="center"/>
          </w:tcPr>
          <w:p w14:paraId="41E3363E">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12</w:t>
            </w:r>
          </w:p>
        </w:tc>
        <w:tc>
          <w:tcPr>
            <w:tcW w:w="443" w:type="pct"/>
            <w:tcBorders>
              <w:top w:val="nil"/>
              <w:left w:val="nil"/>
              <w:bottom w:val="single" w:color="auto" w:sz="4" w:space="0"/>
              <w:right w:val="single" w:color="auto" w:sz="4" w:space="0"/>
            </w:tcBorders>
            <w:noWrap w:val="0"/>
            <w:vAlign w:val="center"/>
          </w:tcPr>
          <w:p w14:paraId="78AA089A">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15</w:t>
            </w:r>
          </w:p>
        </w:tc>
        <w:tc>
          <w:tcPr>
            <w:tcW w:w="431" w:type="pct"/>
            <w:tcBorders>
              <w:top w:val="nil"/>
              <w:left w:val="nil"/>
              <w:bottom w:val="single" w:color="auto" w:sz="4" w:space="0"/>
              <w:right w:val="single" w:color="auto" w:sz="4" w:space="0"/>
            </w:tcBorders>
            <w:noWrap w:val="0"/>
            <w:vAlign w:val="center"/>
          </w:tcPr>
          <w:p w14:paraId="6BC2F318">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13</w:t>
            </w:r>
          </w:p>
        </w:tc>
        <w:tc>
          <w:tcPr>
            <w:tcW w:w="456" w:type="pct"/>
            <w:tcBorders>
              <w:top w:val="nil"/>
              <w:left w:val="nil"/>
              <w:bottom w:val="single" w:color="auto" w:sz="4" w:space="0"/>
              <w:right w:val="single" w:color="auto" w:sz="4" w:space="0"/>
            </w:tcBorders>
            <w:noWrap w:val="0"/>
            <w:vAlign w:val="center"/>
          </w:tcPr>
          <w:p w14:paraId="5DDCDFD1">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18</w:t>
            </w:r>
          </w:p>
        </w:tc>
        <w:tc>
          <w:tcPr>
            <w:tcW w:w="559" w:type="pct"/>
            <w:tcBorders>
              <w:top w:val="nil"/>
              <w:left w:val="nil"/>
              <w:bottom w:val="single" w:color="auto" w:sz="4" w:space="0"/>
              <w:right w:val="single" w:color="auto" w:sz="4" w:space="0"/>
            </w:tcBorders>
            <w:noWrap w:val="0"/>
            <w:vAlign w:val="center"/>
          </w:tcPr>
          <w:p w14:paraId="63633758">
            <w:pPr>
              <w:widowControl/>
              <w:jc w:val="center"/>
              <w:rPr>
                <w:rFonts w:ascii="宋体" w:hAnsi="宋体" w:cs="宋体"/>
                <w:color w:val="auto"/>
                <w:kern w:val="0"/>
                <w:szCs w:val="21"/>
                <w:highlight w:val="none"/>
              </w:rPr>
            </w:pPr>
            <w:r>
              <w:rPr>
                <w:rFonts w:hint="eastAsia" w:ascii="宋体" w:hAnsi="宋体" w:cs="宋体"/>
                <w:strike w:val="0"/>
                <w:dstrike w:val="0"/>
                <w:color w:val="auto"/>
                <w:kern w:val="0"/>
                <w:szCs w:val="21"/>
                <w:highlight w:val="none"/>
                <w:u w:val="none"/>
                <w:shd w:val="clear" w:fill="auto"/>
              </w:rPr>
              <w:t>　</w:t>
            </w:r>
          </w:p>
        </w:tc>
      </w:tr>
      <w:tr w14:paraId="62FB9E3D">
        <w:tblPrEx>
          <w:tblCellMar>
            <w:top w:w="0" w:type="dxa"/>
            <w:left w:w="108" w:type="dxa"/>
            <w:bottom w:w="0" w:type="dxa"/>
            <w:right w:w="108" w:type="dxa"/>
          </w:tblCellMar>
        </w:tblPrEx>
        <w:trPr>
          <w:trHeight w:val="285" w:hRule="atLeast"/>
          <w:jc w:val="center"/>
        </w:trPr>
        <w:tc>
          <w:tcPr>
            <w:tcW w:w="314" w:type="pct"/>
            <w:tcBorders>
              <w:top w:val="nil"/>
              <w:left w:val="single" w:color="auto" w:sz="4" w:space="0"/>
              <w:bottom w:val="single" w:color="auto" w:sz="4" w:space="0"/>
              <w:right w:val="single" w:color="auto" w:sz="4" w:space="0"/>
            </w:tcBorders>
            <w:noWrap w:val="0"/>
            <w:vAlign w:val="center"/>
          </w:tcPr>
          <w:p w14:paraId="3AF6EACC">
            <w:pPr>
              <w:widowControl/>
              <w:jc w:val="center"/>
              <w:rPr>
                <w:rFonts w:ascii="宋体" w:hAnsi="宋体" w:cs="宋体"/>
                <w:color w:val="auto"/>
                <w:kern w:val="0"/>
                <w:szCs w:val="21"/>
                <w:highlight w:val="none"/>
              </w:rPr>
            </w:pPr>
            <w:r>
              <w:rPr>
                <w:rFonts w:ascii="宋体" w:hAnsi="宋体" w:cs="宋体"/>
                <w:color w:val="auto"/>
                <w:kern w:val="0"/>
                <w:szCs w:val="21"/>
                <w:highlight w:val="none"/>
              </w:rPr>
              <w:t>5</w:t>
            </w:r>
          </w:p>
        </w:tc>
        <w:tc>
          <w:tcPr>
            <w:tcW w:w="1459" w:type="pct"/>
            <w:tcBorders>
              <w:top w:val="nil"/>
              <w:left w:val="nil"/>
              <w:bottom w:val="single" w:color="auto" w:sz="4" w:space="0"/>
              <w:right w:val="single" w:color="auto" w:sz="4" w:space="0"/>
            </w:tcBorders>
            <w:noWrap w:val="0"/>
            <w:vAlign w:val="center"/>
          </w:tcPr>
          <w:p w14:paraId="178E070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投资</w:t>
            </w:r>
            <w:r>
              <w:rPr>
                <w:rFonts w:ascii="宋体" w:hAnsi="宋体" w:cs="宋体"/>
                <w:color w:val="auto"/>
                <w:kern w:val="0"/>
                <w:szCs w:val="21"/>
                <w:highlight w:val="none"/>
              </w:rPr>
              <w:t>7500-10000万元</w:t>
            </w:r>
          </w:p>
        </w:tc>
        <w:tc>
          <w:tcPr>
            <w:tcW w:w="412" w:type="pct"/>
            <w:tcBorders>
              <w:top w:val="nil"/>
              <w:left w:val="nil"/>
              <w:bottom w:val="single" w:color="auto" w:sz="4" w:space="0"/>
              <w:right w:val="single" w:color="auto" w:sz="4" w:space="0"/>
            </w:tcBorders>
            <w:noWrap w:val="0"/>
            <w:vAlign w:val="center"/>
          </w:tcPr>
          <w:p w14:paraId="38183BDD">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11</w:t>
            </w:r>
          </w:p>
        </w:tc>
        <w:tc>
          <w:tcPr>
            <w:tcW w:w="443" w:type="pct"/>
            <w:tcBorders>
              <w:top w:val="nil"/>
              <w:left w:val="nil"/>
              <w:bottom w:val="single" w:color="auto" w:sz="4" w:space="0"/>
              <w:right w:val="single" w:color="auto" w:sz="4" w:space="0"/>
            </w:tcBorders>
            <w:noWrap w:val="0"/>
            <w:vAlign w:val="center"/>
          </w:tcPr>
          <w:p w14:paraId="3ACB8508">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15</w:t>
            </w:r>
          </w:p>
        </w:tc>
        <w:tc>
          <w:tcPr>
            <w:tcW w:w="481" w:type="pct"/>
            <w:tcBorders>
              <w:top w:val="nil"/>
              <w:left w:val="nil"/>
              <w:bottom w:val="single" w:color="auto" w:sz="4" w:space="0"/>
              <w:right w:val="single" w:color="auto" w:sz="4" w:space="0"/>
            </w:tcBorders>
            <w:noWrap w:val="0"/>
            <w:vAlign w:val="center"/>
          </w:tcPr>
          <w:p w14:paraId="0CEFE27E">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12</w:t>
            </w:r>
          </w:p>
        </w:tc>
        <w:tc>
          <w:tcPr>
            <w:tcW w:w="443" w:type="pct"/>
            <w:tcBorders>
              <w:top w:val="nil"/>
              <w:left w:val="nil"/>
              <w:bottom w:val="single" w:color="auto" w:sz="4" w:space="0"/>
              <w:right w:val="single" w:color="auto" w:sz="4" w:space="0"/>
            </w:tcBorders>
            <w:noWrap w:val="0"/>
            <w:vAlign w:val="center"/>
          </w:tcPr>
          <w:p w14:paraId="3D286FA1">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18</w:t>
            </w:r>
          </w:p>
        </w:tc>
        <w:tc>
          <w:tcPr>
            <w:tcW w:w="431" w:type="pct"/>
            <w:tcBorders>
              <w:top w:val="nil"/>
              <w:left w:val="nil"/>
              <w:bottom w:val="single" w:color="auto" w:sz="4" w:space="0"/>
              <w:right w:val="single" w:color="auto" w:sz="4" w:space="0"/>
            </w:tcBorders>
            <w:noWrap w:val="0"/>
            <w:vAlign w:val="center"/>
          </w:tcPr>
          <w:p w14:paraId="706CCB20">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13</w:t>
            </w:r>
          </w:p>
        </w:tc>
        <w:tc>
          <w:tcPr>
            <w:tcW w:w="456" w:type="pct"/>
            <w:tcBorders>
              <w:top w:val="nil"/>
              <w:left w:val="nil"/>
              <w:bottom w:val="single" w:color="auto" w:sz="4" w:space="0"/>
              <w:right w:val="single" w:color="auto" w:sz="4" w:space="0"/>
            </w:tcBorders>
            <w:noWrap w:val="0"/>
            <w:vAlign w:val="center"/>
          </w:tcPr>
          <w:p w14:paraId="22A6F5B5">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20</w:t>
            </w:r>
          </w:p>
        </w:tc>
        <w:tc>
          <w:tcPr>
            <w:tcW w:w="559" w:type="pct"/>
            <w:tcBorders>
              <w:top w:val="nil"/>
              <w:left w:val="nil"/>
              <w:bottom w:val="single" w:color="auto" w:sz="4" w:space="0"/>
              <w:right w:val="single" w:color="auto" w:sz="4" w:space="0"/>
            </w:tcBorders>
            <w:noWrap w:val="0"/>
            <w:vAlign w:val="center"/>
          </w:tcPr>
          <w:p w14:paraId="268392CA">
            <w:pPr>
              <w:widowControl/>
              <w:jc w:val="center"/>
              <w:rPr>
                <w:rFonts w:ascii="宋体" w:hAnsi="宋体" w:cs="宋体"/>
                <w:color w:val="auto"/>
                <w:kern w:val="0"/>
                <w:szCs w:val="21"/>
                <w:highlight w:val="none"/>
              </w:rPr>
            </w:pPr>
            <w:r>
              <w:rPr>
                <w:rFonts w:hint="eastAsia" w:ascii="宋体" w:hAnsi="宋体" w:cs="宋体"/>
                <w:strike w:val="0"/>
                <w:dstrike w:val="0"/>
                <w:color w:val="auto"/>
                <w:kern w:val="0"/>
                <w:szCs w:val="21"/>
                <w:highlight w:val="none"/>
                <w:u w:val="none"/>
                <w:shd w:val="clear" w:fill="auto"/>
              </w:rPr>
              <w:t>　</w:t>
            </w:r>
          </w:p>
        </w:tc>
      </w:tr>
      <w:tr w14:paraId="1E85ABFE">
        <w:tblPrEx>
          <w:tblCellMar>
            <w:top w:w="0" w:type="dxa"/>
            <w:left w:w="108" w:type="dxa"/>
            <w:bottom w:w="0" w:type="dxa"/>
            <w:right w:w="108" w:type="dxa"/>
          </w:tblCellMar>
        </w:tblPrEx>
        <w:trPr>
          <w:trHeight w:val="285" w:hRule="atLeast"/>
          <w:jc w:val="center"/>
        </w:trPr>
        <w:tc>
          <w:tcPr>
            <w:tcW w:w="314" w:type="pct"/>
            <w:tcBorders>
              <w:top w:val="nil"/>
              <w:left w:val="single" w:color="auto" w:sz="4" w:space="0"/>
              <w:bottom w:val="single" w:color="auto" w:sz="4" w:space="0"/>
              <w:right w:val="single" w:color="auto" w:sz="4" w:space="0"/>
            </w:tcBorders>
            <w:noWrap w:val="0"/>
            <w:vAlign w:val="center"/>
          </w:tcPr>
          <w:p w14:paraId="5AA99364">
            <w:pPr>
              <w:widowControl/>
              <w:jc w:val="center"/>
              <w:rPr>
                <w:rFonts w:ascii="宋体" w:hAnsi="宋体" w:cs="宋体"/>
                <w:color w:val="auto"/>
                <w:kern w:val="0"/>
                <w:szCs w:val="21"/>
                <w:highlight w:val="none"/>
              </w:rPr>
            </w:pPr>
            <w:r>
              <w:rPr>
                <w:rFonts w:ascii="宋体" w:hAnsi="宋体" w:cs="宋体"/>
                <w:color w:val="auto"/>
                <w:kern w:val="0"/>
                <w:szCs w:val="21"/>
                <w:highlight w:val="none"/>
              </w:rPr>
              <w:t>6</w:t>
            </w:r>
          </w:p>
        </w:tc>
        <w:tc>
          <w:tcPr>
            <w:tcW w:w="1459" w:type="pct"/>
            <w:tcBorders>
              <w:top w:val="nil"/>
              <w:left w:val="nil"/>
              <w:bottom w:val="single" w:color="auto" w:sz="4" w:space="0"/>
              <w:right w:val="single" w:color="auto" w:sz="4" w:space="0"/>
            </w:tcBorders>
            <w:noWrap w:val="0"/>
            <w:vAlign w:val="center"/>
          </w:tcPr>
          <w:p w14:paraId="0236703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投资</w:t>
            </w:r>
            <w:r>
              <w:rPr>
                <w:rFonts w:ascii="宋体" w:hAnsi="宋体" w:cs="宋体"/>
                <w:color w:val="auto"/>
                <w:kern w:val="0"/>
                <w:szCs w:val="21"/>
                <w:highlight w:val="none"/>
              </w:rPr>
              <w:t>10000万元以上</w:t>
            </w:r>
          </w:p>
        </w:tc>
        <w:tc>
          <w:tcPr>
            <w:tcW w:w="412" w:type="pct"/>
            <w:tcBorders>
              <w:top w:val="nil"/>
              <w:left w:val="nil"/>
              <w:bottom w:val="single" w:color="auto" w:sz="4" w:space="0"/>
              <w:right w:val="single" w:color="auto" w:sz="4" w:space="0"/>
            </w:tcBorders>
            <w:noWrap w:val="0"/>
            <w:vAlign w:val="center"/>
          </w:tcPr>
          <w:p w14:paraId="7165C7EB">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11</w:t>
            </w:r>
          </w:p>
        </w:tc>
        <w:tc>
          <w:tcPr>
            <w:tcW w:w="443" w:type="pct"/>
            <w:tcBorders>
              <w:top w:val="nil"/>
              <w:left w:val="nil"/>
              <w:bottom w:val="single" w:color="auto" w:sz="4" w:space="0"/>
              <w:right w:val="single" w:color="auto" w:sz="4" w:space="0"/>
            </w:tcBorders>
            <w:noWrap w:val="0"/>
            <w:vAlign w:val="center"/>
          </w:tcPr>
          <w:p w14:paraId="002E469B">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18</w:t>
            </w:r>
          </w:p>
        </w:tc>
        <w:tc>
          <w:tcPr>
            <w:tcW w:w="481" w:type="pct"/>
            <w:tcBorders>
              <w:top w:val="nil"/>
              <w:left w:val="nil"/>
              <w:bottom w:val="single" w:color="auto" w:sz="4" w:space="0"/>
              <w:right w:val="single" w:color="auto" w:sz="4" w:space="0"/>
            </w:tcBorders>
            <w:noWrap w:val="0"/>
            <w:vAlign w:val="center"/>
          </w:tcPr>
          <w:p w14:paraId="46944960">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12</w:t>
            </w:r>
          </w:p>
        </w:tc>
        <w:tc>
          <w:tcPr>
            <w:tcW w:w="443" w:type="pct"/>
            <w:tcBorders>
              <w:top w:val="nil"/>
              <w:left w:val="nil"/>
              <w:bottom w:val="single" w:color="auto" w:sz="4" w:space="0"/>
              <w:right w:val="single" w:color="auto" w:sz="4" w:space="0"/>
            </w:tcBorders>
            <w:noWrap w:val="0"/>
            <w:vAlign w:val="center"/>
          </w:tcPr>
          <w:p w14:paraId="66066B07">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20</w:t>
            </w:r>
          </w:p>
        </w:tc>
        <w:tc>
          <w:tcPr>
            <w:tcW w:w="431" w:type="pct"/>
            <w:tcBorders>
              <w:top w:val="nil"/>
              <w:left w:val="nil"/>
              <w:bottom w:val="single" w:color="auto" w:sz="4" w:space="0"/>
              <w:right w:val="single" w:color="auto" w:sz="4" w:space="0"/>
            </w:tcBorders>
            <w:noWrap w:val="0"/>
            <w:vAlign w:val="center"/>
          </w:tcPr>
          <w:p w14:paraId="34F2A7B3">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13</w:t>
            </w:r>
          </w:p>
        </w:tc>
        <w:tc>
          <w:tcPr>
            <w:tcW w:w="456" w:type="pct"/>
            <w:tcBorders>
              <w:top w:val="nil"/>
              <w:left w:val="nil"/>
              <w:bottom w:val="single" w:color="auto" w:sz="4" w:space="0"/>
              <w:right w:val="single" w:color="auto" w:sz="4" w:space="0"/>
            </w:tcBorders>
            <w:noWrap w:val="0"/>
            <w:vAlign w:val="center"/>
          </w:tcPr>
          <w:p w14:paraId="5BCD8F90">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22</w:t>
            </w:r>
          </w:p>
        </w:tc>
        <w:tc>
          <w:tcPr>
            <w:tcW w:w="559" w:type="pct"/>
            <w:tcBorders>
              <w:top w:val="nil"/>
              <w:left w:val="nil"/>
              <w:bottom w:val="single" w:color="auto" w:sz="4" w:space="0"/>
              <w:right w:val="single" w:color="auto" w:sz="4" w:space="0"/>
            </w:tcBorders>
            <w:noWrap w:val="0"/>
            <w:vAlign w:val="center"/>
          </w:tcPr>
          <w:p w14:paraId="44449072">
            <w:pPr>
              <w:widowControl/>
              <w:jc w:val="center"/>
              <w:rPr>
                <w:rFonts w:ascii="宋体" w:hAnsi="宋体" w:cs="宋体"/>
                <w:color w:val="auto"/>
                <w:kern w:val="0"/>
                <w:szCs w:val="21"/>
                <w:highlight w:val="none"/>
              </w:rPr>
            </w:pPr>
            <w:r>
              <w:rPr>
                <w:rFonts w:hint="eastAsia" w:ascii="宋体" w:hAnsi="宋体" w:cs="宋体"/>
                <w:strike w:val="0"/>
                <w:dstrike w:val="0"/>
                <w:color w:val="auto"/>
                <w:kern w:val="0"/>
                <w:szCs w:val="21"/>
                <w:highlight w:val="none"/>
                <w:u w:val="none"/>
                <w:shd w:val="clear" w:fill="auto"/>
              </w:rPr>
              <w:t>　</w:t>
            </w:r>
          </w:p>
        </w:tc>
      </w:tr>
      <w:tr w14:paraId="3884FAD7">
        <w:tblPrEx>
          <w:tblCellMar>
            <w:top w:w="0" w:type="dxa"/>
            <w:left w:w="108" w:type="dxa"/>
            <w:bottom w:w="0" w:type="dxa"/>
            <w:right w:w="108" w:type="dxa"/>
          </w:tblCellMar>
        </w:tblPrEx>
        <w:trPr>
          <w:trHeight w:val="285" w:hRule="atLeast"/>
          <w:jc w:val="center"/>
        </w:trPr>
        <w:tc>
          <w:tcPr>
            <w:tcW w:w="314" w:type="pct"/>
            <w:tcBorders>
              <w:top w:val="single" w:color="auto" w:sz="4" w:space="0"/>
              <w:left w:val="single" w:color="auto" w:sz="4" w:space="0"/>
              <w:bottom w:val="single" w:color="auto" w:sz="4" w:space="0"/>
              <w:right w:val="single" w:color="auto" w:sz="4" w:space="0"/>
            </w:tcBorders>
            <w:noWrap w:val="0"/>
            <w:vAlign w:val="center"/>
          </w:tcPr>
          <w:p w14:paraId="4B25D18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二</w:t>
            </w:r>
          </w:p>
        </w:tc>
        <w:tc>
          <w:tcPr>
            <w:tcW w:w="1459" w:type="pct"/>
            <w:tcBorders>
              <w:top w:val="single" w:color="auto" w:sz="4" w:space="0"/>
              <w:left w:val="single" w:color="auto" w:sz="4" w:space="0"/>
              <w:bottom w:val="single" w:color="auto" w:sz="4" w:space="0"/>
              <w:right w:val="single" w:color="auto" w:sz="4" w:space="0"/>
            </w:tcBorders>
            <w:noWrap w:val="0"/>
            <w:vAlign w:val="center"/>
          </w:tcPr>
          <w:p w14:paraId="0FBE911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结算</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26A7BFFC">
            <w:pPr>
              <w:widowControl/>
              <w:jc w:val="center"/>
              <w:rPr>
                <w:rFonts w:ascii="宋体" w:hAnsi="宋体" w:cs="宋体"/>
                <w:b/>
                <w:bCs/>
                <w:color w:val="auto"/>
                <w:kern w:val="0"/>
                <w:szCs w:val="21"/>
                <w:highlight w:val="none"/>
              </w:rPr>
            </w:pPr>
            <w:r>
              <w:rPr>
                <w:rFonts w:hint="eastAsia" w:ascii="宋体" w:hAnsi="宋体" w:cs="宋体"/>
                <w:b/>
                <w:bCs/>
                <w:strike w:val="0"/>
                <w:dstrike w:val="0"/>
                <w:color w:val="auto"/>
                <w:kern w:val="0"/>
                <w:szCs w:val="21"/>
                <w:highlight w:val="none"/>
                <w:u w:val="none"/>
                <w:shd w:val="clear" w:fill="auto"/>
              </w:rPr>
              <w:t>　</w:t>
            </w:r>
          </w:p>
        </w:tc>
        <w:tc>
          <w:tcPr>
            <w:tcW w:w="443" w:type="pct"/>
            <w:tcBorders>
              <w:top w:val="single" w:color="auto" w:sz="4" w:space="0"/>
              <w:left w:val="single" w:color="auto" w:sz="4" w:space="0"/>
              <w:bottom w:val="single" w:color="auto" w:sz="4" w:space="0"/>
              <w:right w:val="single" w:color="auto" w:sz="4" w:space="0"/>
            </w:tcBorders>
            <w:noWrap w:val="0"/>
            <w:vAlign w:val="center"/>
          </w:tcPr>
          <w:p w14:paraId="37EC9607">
            <w:pPr>
              <w:widowControl/>
              <w:jc w:val="center"/>
              <w:rPr>
                <w:rFonts w:ascii="宋体" w:hAnsi="宋体" w:cs="宋体"/>
                <w:b/>
                <w:bCs/>
                <w:color w:val="auto"/>
                <w:kern w:val="0"/>
                <w:szCs w:val="21"/>
                <w:highlight w:val="none"/>
              </w:rPr>
            </w:pPr>
            <w:r>
              <w:rPr>
                <w:rFonts w:hint="eastAsia" w:ascii="宋体" w:hAnsi="宋体" w:cs="宋体"/>
                <w:b/>
                <w:bCs/>
                <w:strike w:val="0"/>
                <w:dstrike w:val="0"/>
                <w:color w:val="auto"/>
                <w:kern w:val="0"/>
                <w:szCs w:val="21"/>
                <w:highlight w:val="none"/>
                <w:u w:val="none"/>
                <w:shd w:val="clear" w:fill="auto"/>
              </w:rPr>
              <w:t>　</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1E74D6CA">
            <w:pPr>
              <w:widowControl/>
              <w:jc w:val="center"/>
              <w:rPr>
                <w:rFonts w:ascii="宋体" w:hAnsi="宋体" w:cs="宋体"/>
                <w:b/>
                <w:bCs/>
                <w:color w:val="auto"/>
                <w:kern w:val="0"/>
                <w:szCs w:val="21"/>
                <w:highlight w:val="none"/>
              </w:rPr>
            </w:pPr>
            <w:r>
              <w:rPr>
                <w:rFonts w:hint="eastAsia" w:ascii="宋体" w:hAnsi="宋体" w:cs="宋体"/>
                <w:b/>
                <w:bCs/>
                <w:strike w:val="0"/>
                <w:dstrike w:val="0"/>
                <w:color w:val="auto"/>
                <w:kern w:val="0"/>
                <w:szCs w:val="21"/>
                <w:highlight w:val="none"/>
                <w:u w:val="none"/>
                <w:shd w:val="clear" w:fill="auto"/>
              </w:rPr>
              <w:t>　</w:t>
            </w:r>
          </w:p>
        </w:tc>
        <w:tc>
          <w:tcPr>
            <w:tcW w:w="443" w:type="pct"/>
            <w:tcBorders>
              <w:top w:val="single" w:color="auto" w:sz="4" w:space="0"/>
              <w:left w:val="single" w:color="auto" w:sz="4" w:space="0"/>
              <w:bottom w:val="single" w:color="auto" w:sz="4" w:space="0"/>
              <w:right w:val="single" w:color="auto" w:sz="4" w:space="0"/>
            </w:tcBorders>
            <w:noWrap w:val="0"/>
            <w:vAlign w:val="center"/>
          </w:tcPr>
          <w:p w14:paraId="7559E8EB">
            <w:pPr>
              <w:widowControl/>
              <w:jc w:val="center"/>
              <w:rPr>
                <w:rFonts w:ascii="宋体" w:hAnsi="宋体" w:cs="宋体"/>
                <w:b/>
                <w:bCs/>
                <w:color w:val="auto"/>
                <w:kern w:val="0"/>
                <w:szCs w:val="21"/>
                <w:highlight w:val="none"/>
              </w:rPr>
            </w:pPr>
            <w:r>
              <w:rPr>
                <w:rFonts w:hint="eastAsia" w:ascii="宋体" w:hAnsi="宋体" w:cs="宋体"/>
                <w:b/>
                <w:bCs/>
                <w:strike w:val="0"/>
                <w:dstrike w:val="0"/>
                <w:color w:val="auto"/>
                <w:kern w:val="0"/>
                <w:szCs w:val="21"/>
                <w:highlight w:val="none"/>
                <w:u w:val="none"/>
                <w:shd w:val="clear" w:fill="auto"/>
              </w:rPr>
              <w:t>　</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200A3457">
            <w:pPr>
              <w:widowControl/>
              <w:jc w:val="center"/>
              <w:rPr>
                <w:rFonts w:ascii="宋体" w:hAnsi="宋体" w:cs="宋体"/>
                <w:b/>
                <w:bCs/>
                <w:color w:val="auto"/>
                <w:kern w:val="0"/>
                <w:szCs w:val="21"/>
                <w:highlight w:val="none"/>
              </w:rPr>
            </w:pPr>
            <w:r>
              <w:rPr>
                <w:rFonts w:hint="eastAsia" w:ascii="宋体" w:hAnsi="宋体" w:cs="宋体"/>
                <w:b/>
                <w:bCs/>
                <w:strike w:val="0"/>
                <w:dstrike w:val="0"/>
                <w:color w:val="auto"/>
                <w:kern w:val="0"/>
                <w:szCs w:val="21"/>
                <w:highlight w:val="none"/>
                <w:u w:val="none"/>
                <w:shd w:val="clear" w:fill="auto"/>
              </w:rPr>
              <w:t>　</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380B705C">
            <w:pPr>
              <w:widowControl/>
              <w:jc w:val="center"/>
              <w:rPr>
                <w:rFonts w:ascii="宋体" w:hAnsi="宋体" w:cs="宋体"/>
                <w:b/>
                <w:bCs/>
                <w:color w:val="auto"/>
                <w:kern w:val="0"/>
                <w:szCs w:val="21"/>
                <w:highlight w:val="none"/>
              </w:rPr>
            </w:pPr>
            <w:r>
              <w:rPr>
                <w:rFonts w:hint="eastAsia" w:ascii="宋体" w:hAnsi="宋体" w:cs="宋体"/>
                <w:b/>
                <w:bCs/>
                <w:strike w:val="0"/>
                <w:dstrike w:val="0"/>
                <w:color w:val="auto"/>
                <w:kern w:val="0"/>
                <w:szCs w:val="21"/>
                <w:highlight w:val="none"/>
                <w:u w:val="none"/>
                <w:shd w:val="clear" w:fill="auto"/>
              </w:rPr>
              <w:t>　</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7F7AFE0A">
            <w:pPr>
              <w:widowControl/>
              <w:jc w:val="center"/>
              <w:rPr>
                <w:rFonts w:ascii="宋体" w:hAnsi="宋体" w:cs="宋体"/>
                <w:color w:val="auto"/>
                <w:kern w:val="0"/>
                <w:szCs w:val="21"/>
                <w:highlight w:val="none"/>
              </w:rPr>
            </w:pPr>
            <w:r>
              <w:rPr>
                <w:rFonts w:hint="eastAsia" w:ascii="宋体" w:hAnsi="宋体" w:cs="宋体"/>
                <w:strike w:val="0"/>
                <w:dstrike w:val="0"/>
                <w:color w:val="auto"/>
                <w:kern w:val="0"/>
                <w:szCs w:val="21"/>
                <w:highlight w:val="none"/>
                <w:u w:val="none"/>
                <w:shd w:val="clear" w:fill="auto"/>
              </w:rPr>
              <w:t>　</w:t>
            </w:r>
          </w:p>
        </w:tc>
      </w:tr>
      <w:tr w14:paraId="42879F64">
        <w:tblPrEx>
          <w:tblCellMar>
            <w:top w:w="0" w:type="dxa"/>
            <w:left w:w="108" w:type="dxa"/>
            <w:bottom w:w="0" w:type="dxa"/>
            <w:right w:w="108" w:type="dxa"/>
          </w:tblCellMar>
        </w:tblPrEx>
        <w:trPr>
          <w:trHeight w:val="285" w:hRule="atLeast"/>
          <w:jc w:val="center"/>
        </w:trPr>
        <w:tc>
          <w:tcPr>
            <w:tcW w:w="314" w:type="pct"/>
            <w:tcBorders>
              <w:top w:val="single" w:color="auto" w:sz="4" w:space="0"/>
              <w:left w:val="single" w:color="auto" w:sz="4" w:space="0"/>
              <w:bottom w:val="single" w:color="auto" w:sz="4" w:space="0"/>
              <w:right w:val="single" w:color="auto" w:sz="4" w:space="0"/>
            </w:tcBorders>
            <w:noWrap w:val="0"/>
            <w:vAlign w:val="center"/>
          </w:tcPr>
          <w:p w14:paraId="275C3F56">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1459" w:type="pct"/>
            <w:tcBorders>
              <w:top w:val="single" w:color="auto" w:sz="4" w:space="0"/>
              <w:left w:val="nil"/>
              <w:bottom w:val="single" w:color="auto" w:sz="4" w:space="0"/>
              <w:right w:val="single" w:color="auto" w:sz="4" w:space="0"/>
            </w:tcBorders>
            <w:noWrap w:val="0"/>
            <w:vAlign w:val="center"/>
          </w:tcPr>
          <w:p w14:paraId="2520614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投资</w:t>
            </w:r>
            <w:r>
              <w:rPr>
                <w:rFonts w:ascii="宋体" w:hAnsi="宋体" w:cs="宋体"/>
                <w:color w:val="auto"/>
                <w:kern w:val="0"/>
                <w:szCs w:val="21"/>
                <w:highlight w:val="none"/>
              </w:rPr>
              <w:t>500万元以内</w:t>
            </w:r>
          </w:p>
        </w:tc>
        <w:tc>
          <w:tcPr>
            <w:tcW w:w="412" w:type="pct"/>
            <w:tcBorders>
              <w:top w:val="single" w:color="auto" w:sz="4" w:space="0"/>
              <w:left w:val="nil"/>
              <w:bottom w:val="single" w:color="auto" w:sz="4" w:space="0"/>
              <w:right w:val="single" w:color="auto" w:sz="4" w:space="0"/>
            </w:tcBorders>
            <w:noWrap w:val="0"/>
            <w:vAlign w:val="center"/>
          </w:tcPr>
          <w:p w14:paraId="13112667">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12</w:t>
            </w:r>
          </w:p>
        </w:tc>
        <w:tc>
          <w:tcPr>
            <w:tcW w:w="443" w:type="pct"/>
            <w:tcBorders>
              <w:top w:val="single" w:color="auto" w:sz="4" w:space="0"/>
              <w:left w:val="nil"/>
              <w:bottom w:val="single" w:color="auto" w:sz="4" w:space="0"/>
              <w:right w:val="single" w:color="auto" w:sz="4" w:space="0"/>
            </w:tcBorders>
            <w:noWrap w:val="0"/>
            <w:vAlign w:val="center"/>
          </w:tcPr>
          <w:p w14:paraId="4760EEE1">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15</w:t>
            </w:r>
          </w:p>
        </w:tc>
        <w:tc>
          <w:tcPr>
            <w:tcW w:w="481" w:type="pct"/>
            <w:tcBorders>
              <w:top w:val="single" w:color="auto" w:sz="4" w:space="0"/>
              <w:left w:val="nil"/>
              <w:bottom w:val="single" w:color="auto" w:sz="4" w:space="0"/>
              <w:right w:val="single" w:color="auto" w:sz="4" w:space="0"/>
            </w:tcBorders>
            <w:noWrap w:val="0"/>
            <w:vAlign w:val="center"/>
          </w:tcPr>
          <w:p w14:paraId="075494A0">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13</w:t>
            </w:r>
          </w:p>
        </w:tc>
        <w:tc>
          <w:tcPr>
            <w:tcW w:w="443" w:type="pct"/>
            <w:tcBorders>
              <w:top w:val="single" w:color="auto" w:sz="4" w:space="0"/>
              <w:left w:val="nil"/>
              <w:bottom w:val="single" w:color="auto" w:sz="4" w:space="0"/>
              <w:right w:val="single" w:color="auto" w:sz="4" w:space="0"/>
            </w:tcBorders>
            <w:noWrap w:val="0"/>
            <w:vAlign w:val="center"/>
          </w:tcPr>
          <w:p w14:paraId="70D35D05">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16</w:t>
            </w:r>
          </w:p>
        </w:tc>
        <w:tc>
          <w:tcPr>
            <w:tcW w:w="431" w:type="pct"/>
            <w:tcBorders>
              <w:top w:val="single" w:color="auto" w:sz="4" w:space="0"/>
              <w:left w:val="nil"/>
              <w:bottom w:val="single" w:color="auto" w:sz="4" w:space="0"/>
              <w:right w:val="single" w:color="auto" w:sz="4" w:space="0"/>
            </w:tcBorders>
            <w:noWrap w:val="0"/>
            <w:vAlign w:val="center"/>
          </w:tcPr>
          <w:p w14:paraId="7FD3E0B6">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15</w:t>
            </w:r>
          </w:p>
        </w:tc>
        <w:tc>
          <w:tcPr>
            <w:tcW w:w="456" w:type="pct"/>
            <w:tcBorders>
              <w:top w:val="single" w:color="auto" w:sz="4" w:space="0"/>
              <w:left w:val="nil"/>
              <w:bottom w:val="single" w:color="auto" w:sz="4" w:space="0"/>
              <w:right w:val="single" w:color="auto" w:sz="4" w:space="0"/>
            </w:tcBorders>
            <w:noWrap w:val="0"/>
            <w:vAlign w:val="center"/>
          </w:tcPr>
          <w:p w14:paraId="6F6871AD">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18</w:t>
            </w:r>
          </w:p>
        </w:tc>
        <w:tc>
          <w:tcPr>
            <w:tcW w:w="559" w:type="pct"/>
            <w:tcBorders>
              <w:top w:val="single" w:color="auto" w:sz="4" w:space="0"/>
              <w:left w:val="nil"/>
              <w:bottom w:val="single" w:color="auto" w:sz="4" w:space="0"/>
              <w:right w:val="single" w:color="auto" w:sz="4" w:space="0"/>
            </w:tcBorders>
            <w:noWrap w:val="0"/>
            <w:vAlign w:val="center"/>
          </w:tcPr>
          <w:p w14:paraId="13AB2CDF">
            <w:pPr>
              <w:widowControl/>
              <w:jc w:val="center"/>
              <w:rPr>
                <w:rFonts w:ascii="宋体" w:hAnsi="宋体" w:cs="宋体"/>
                <w:color w:val="auto"/>
                <w:kern w:val="0"/>
                <w:szCs w:val="21"/>
                <w:highlight w:val="none"/>
              </w:rPr>
            </w:pPr>
            <w:r>
              <w:rPr>
                <w:rFonts w:hint="eastAsia" w:ascii="宋体" w:hAnsi="宋体" w:cs="宋体"/>
                <w:strike w:val="0"/>
                <w:dstrike w:val="0"/>
                <w:color w:val="auto"/>
                <w:kern w:val="0"/>
                <w:szCs w:val="21"/>
                <w:highlight w:val="none"/>
                <w:u w:val="none"/>
                <w:shd w:val="clear" w:fill="auto"/>
              </w:rPr>
              <w:t>　</w:t>
            </w:r>
          </w:p>
        </w:tc>
      </w:tr>
      <w:tr w14:paraId="2BD854F0">
        <w:tblPrEx>
          <w:tblCellMar>
            <w:top w:w="0" w:type="dxa"/>
            <w:left w:w="108" w:type="dxa"/>
            <w:bottom w:w="0" w:type="dxa"/>
            <w:right w:w="108" w:type="dxa"/>
          </w:tblCellMar>
        </w:tblPrEx>
        <w:trPr>
          <w:trHeight w:val="285" w:hRule="atLeast"/>
          <w:jc w:val="center"/>
        </w:trPr>
        <w:tc>
          <w:tcPr>
            <w:tcW w:w="314" w:type="pct"/>
            <w:tcBorders>
              <w:top w:val="nil"/>
              <w:left w:val="single" w:color="auto" w:sz="4" w:space="0"/>
              <w:bottom w:val="single" w:color="auto" w:sz="4" w:space="0"/>
              <w:right w:val="single" w:color="auto" w:sz="4" w:space="0"/>
            </w:tcBorders>
            <w:noWrap w:val="0"/>
            <w:vAlign w:val="center"/>
          </w:tcPr>
          <w:p w14:paraId="5CB9EC21">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459" w:type="pct"/>
            <w:tcBorders>
              <w:top w:val="nil"/>
              <w:left w:val="nil"/>
              <w:bottom w:val="single" w:color="auto" w:sz="4" w:space="0"/>
              <w:right w:val="single" w:color="auto" w:sz="4" w:space="0"/>
            </w:tcBorders>
            <w:noWrap w:val="0"/>
            <w:vAlign w:val="center"/>
          </w:tcPr>
          <w:p w14:paraId="5281F3B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投资</w:t>
            </w:r>
            <w:r>
              <w:rPr>
                <w:rFonts w:ascii="宋体" w:hAnsi="宋体" w:cs="宋体"/>
                <w:color w:val="auto"/>
                <w:kern w:val="0"/>
                <w:szCs w:val="21"/>
                <w:highlight w:val="none"/>
              </w:rPr>
              <w:t>500-2500万元</w:t>
            </w:r>
          </w:p>
        </w:tc>
        <w:tc>
          <w:tcPr>
            <w:tcW w:w="412" w:type="pct"/>
            <w:tcBorders>
              <w:top w:val="nil"/>
              <w:left w:val="nil"/>
              <w:bottom w:val="nil"/>
              <w:right w:val="single" w:color="auto" w:sz="4" w:space="0"/>
            </w:tcBorders>
            <w:noWrap w:val="0"/>
            <w:vAlign w:val="center"/>
          </w:tcPr>
          <w:p w14:paraId="08298C8A">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15</w:t>
            </w:r>
          </w:p>
        </w:tc>
        <w:tc>
          <w:tcPr>
            <w:tcW w:w="443" w:type="pct"/>
            <w:tcBorders>
              <w:top w:val="nil"/>
              <w:left w:val="nil"/>
              <w:bottom w:val="nil"/>
              <w:right w:val="single" w:color="auto" w:sz="4" w:space="0"/>
            </w:tcBorders>
            <w:noWrap w:val="0"/>
            <w:vAlign w:val="center"/>
          </w:tcPr>
          <w:p w14:paraId="3C2808A4">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18</w:t>
            </w:r>
          </w:p>
        </w:tc>
        <w:tc>
          <w:tcPr>
            <w:tcW w:w="481" w:type="pct"/>
            <w:tcBorders>
              <w:top w:val="nil"/>
              <w:left w:val="nil"/>
              <w:bottom w:val="nil"/>
              <w:right w:val="single" w:color="auto" w:sz="4" w:space="0"/>
            </w:tcBorders>
            <w:noWrap w:val="0"/>
            <w:vAlign w:val="center"/>
          </w:tcPr>
          <w:p w14:paraId="78E20D05">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16</w:t>
            </w:r>
          </w:p>
        </w:tc>
        <w:tc>
          <w:tcPr>
            <w:tcW w:w="443" w:type="pct"/>
            <w:tcBorders>
              <w:top w:val="nil"/>
              <w:left w:val="nil"/>
              <w:bottom w:val="nil"/>
              <w:right w:val="single" w:color="auto" w:sz="4" w:space="0"/>
            </w:tcBorders>
            <w:noWrap w:val="0"/>
            <w:vAlign w:val="center"/>
          </w:tcPr>
          <w:p w14:paraId="677F2DEA">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20</w:t>
            </w:r>
          </w:p>
        </w:tc>
        <w:tc>
          <w:tcPr>
            <w:tcW w:w="431" w:type="pct"/>
            <w:tcBorders>
              <w:top w:val="nil"/>
              <w:left w:val="nil"/>
              <w:bottom w:val="nil"/>
              <w:right w:val="single" w:color="auto" w:sz="4" w:space="0"/>
            </w:tcBorders>
            <w:noWrap w:val="0"/>
            <w:vAlign w:val="center"/>
          </w:tcPr>
          <w:p w14:paraId="0DDC1CD0">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18</w:t>
            </w:r>
          </w:p>
        </w:tc>
        <w:tc>
          <w:tcPr>
            <w:tcW w:w="456" w:type="pct"/>
            <w:tcBorders>
              <w:top w:val="nil"/>
              <w:left w:val="nil"/>
              <w:bottom w:val="nil"/>
              <w:right w:val="single" w:color="auto" w:sz="4" w:space="0"/>
            </w:tcBorders>
            <w:noWrap w:val="0"/>
            <w:vAlign w:val="center"/>
          </w:tcPr>
          <w:p w14:paraId="4B4B4488">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23</w:t>
            </w:r>
          </w:p>
        </w:tc>
        <w:tc>
          <w:tcPr>
            <w:tcW w:w="559" w:type="pct"/>
            <w:tcBorders>
              <w:top w:val="nil"/>
              <w:left w:val="nil"/>
              <w:bottom w:val="nil"/>
              <w:right w:val="single" w:color="auto" w:sz="4" w:space="0"/>
            </w:tcBorders>
            <w:noWrap w:val="0"/>
            <w:vAlign w:val="center"/>
          </w:tcPr>
          <w:p w14:paraId="29F1ACA6">
            <w:pPr>
              <w:widowControl/>
              <w:jc w:val="center"/>
              <w:rPr>
                <w:rFonts w:ascii="宋体" w:hAnsi="宋体" w:cs="宋体"/>
                <w:color w:val="auto"/>
                <w:kern w:val="0"/>
                <w:szCs w:val="21"/>
                <w:highlight w:val="none"/>
              </w:rPr>
            </w:pPr>
            <w:r>
              <w:rPr>
                <w:rFonts w:hint="eastAsia" w:ascii="宋体" w:hAnsi="宋体" w:cs="宋体"/>
                <w:strike w:val="0"/>
                <w:dstrike w:val="0"/>
                <w:color w:val="auto"/>
                <w:kern w:val="0"/>
                <w:szCs w:val="21"/>
                <w:highlight w:val="none"/>
                <w:u w:val="none"/>
                <w:shd w:val="clear" w:fill="auto"/>
              </w:rPr>
              <w:t>　</w:t>
            </w:r>
          </w:p>
        </w:tc>
      </w:tr>
      <w:tr w14:paraId="2C0D2C0E">
        <w:tblPrEx>
          <w:tblCellMar>
            <w:top w:w="0" w:type="dxa"/>
            <w:left w:w="108" w:type="dxa"/>
            <w:bottom w:w="0" w:type="dxa"/>
            <w:right w:w="108" w:type="dxa"/>
          </w:tblCellMar>
        </w:tblPrEx>
        <w:trPr>
          <w:cantSplit/>
          <w:trHeight w:val="285" w:hRule="atLeast"/>
          <w:jc w:val="center"/>
        </w:trPr>
        <w:tc>
          <w:tcPr>
            <w:tcW w:w="314" w:type="pct"/>
            <w:tcBorders>
              <w:top w:val="nil"/>
              <w:left w:val="single" w:color="auto" w:sz="4" w:space="0"/>
              <w:bottom w:val="single" w:color="auto" w:sz="4" w:space="0"/>
              <w:right w:val="single" w:color="auto" w:sz="4" w:space="0"/>
            </w:tcBorders>
            <w:noWrap w:val="0"/>
            <w:vAlign w:val="center"/>
          </w:tcPr>
          <w:p w14:paraId="2D7DB0E4">
            <w:pPr>
              <w:widowControl/>
              <w:jc w:val="center"/>
              <w:rPr>
                <w:rFonts w:ascii="宋体" w:hAnsi="宋体" w:cs="宋体"/>
                <w:color w:val="auto"/>
                <w:kern w:val="0"/>
                <w:szCs w:val="21"/>
                <w:highlight w:val="none"/>
              </w:rPr>
            </w:pPr>
            <w:r>
              <w:rPr>
                <w:rFonts w:ascii="宋体" w:hAnsi="宋体" w:cs="宋体"/>
                <w:color w:val="auto"/>
                <w:kern w:val="0"/>
                <w:szCs w:val="21"/>
                <w:highlight w:val="none"/>
              </w:rPr>
              <w:t>3</w:t>
            </w:r>
          </w:p>
        </w:tc>
        <w:tc>
          <w:tcPr>
            <w:tcW w:w="1459" w:type="pct"/>
            <w:tcBorders>
              <w:top w:val="nil"/>
              <w:left w:val="nil"/>
              <w:bottom w:val="single" w:color="auto" w:sz="4" w:space="0"/>
              <w:right w:val="single" w:color="auto" w:sz="4" w:space="0"/>
            </w:tcBorders>
            <w:noWrap w:val="0"/>
            <w:vAlign w:val="center"/>
          </w:tcPr>
          <w:p w14:paraId="32DA170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投资</w:t>
            </w:r>
            <w:r>
              <w:rPr>
                <w:rFonts w:ascii="宋体" w:hAnsi="宋体" w:cs="宋体"/>
                <w:color w:val="auto"/>
                <w:kern w:val="0"/>
                <w:szCs w:val="21"/>
                <w:highlight w:val="none"/>
              </w:rPr>
              <w:t>2500-5000万元</w:t>
            </w:r>
          </w:p>
        </w:tc>
        <w:tc>
          <w:tcPr>
            <w:tcW w:w="412" w:type="pct"/>
            <w:tcBorders>
              <w:top w:val="single" w:color="auto" w:sz="4" w:space="0"/>
              <w:left w:val="nil"/>
              <w:bottom w:val="single" w:color="auto" w:sz="4" w:space="0"/>
              <w:right w:val="single" w:color="auto" w:sz="4" w:space="0"/>
            </w:tcBorders>
            <w:noWrap w:val="0"/>
            <w:vAlign w:val="center"/>
          </w:tcPr>
          <w:p w14:paraId="36C02FCF">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18</w:t>
            </w:r>
          </w:p>
        </w:tc>
        <w:tc>
          <w:tcPr>
            <w:tcW w:w="443" w:type="pct"/>
            <w:tcBorders>
              <w:top w:val="single" w:color="auto" w:sz="4" w:space="0"/>
              <w:left w:val="nil"/>
              <w:bottom w:val="single" w:color="auto" w:sz="4" w:space="0"/>
              <w:right w:val="single" w:color="auto" w:sz="4" w:space="0"/>
            </w:tcBorders>
            <w:noWrap w:val="0"/>
            <w:vAlign w:val="center"/>
          </w:tcPr>
          <w:p w14:paraId="3B4C3E4D">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20</w:t>
            </w:r>
          </w:p>
        </w:tc>
        <w:tc>
          <w:tcPr>
            <w:tcW w:w="481" w:type="pct"/>
            <w:tcBorders>
              <w:top w:val="single" w:color="auto" w:sz="4" w:space="0"/>
              <w:left w:val="nil"/>
              <w:bottom w:val="single" w:color="auto" w:sz="4" w:space="0"/>
              <w:right w:val="single" w:color="auto" w:sz="4" w:space="0"/>
            </w:tcBorders>
            <w:noWrap w:val="0"/>
            <w:vAlign w:val="center"/>
          </w:tcPr>
          <w:p w14:paraId="26821325">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19</w:t>
            </w:r>
          </w:p>
        </w:tc>
        <w:tc>
          <w:tcPr>
            <w:tcW w:w="443" w:type="pct"/>
            <w:tcBorders>
              <w:top w:val="single" w:color="auto" w:sz="4" w:space="0"/>
              <w:left w:val="nil"/>
              <w:bottom w:val="single" w:color="auto" w:sz="4" w:space="0"/>
              <w:right w:val="single" w:color="auto" w:sz="4" w:space="0"/>
            </w:tcBorders>
            <w:noWrap w:val="0"/>
            <w:vAlign w:val="center"/>
          </w:tcPr>
          <w:p w14:paraId="04674EAA">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22</w:t>
            </w:r>
          </w:p>
        </w:tc>
        <w:tc>
          <w:tcPr>
            <w:tcW w:w="431" w:type="pct"/>
            <w:tcBorders>
              <w:top w:val="single" w:color="auto" w:sz="4" w:space="0"/>
              <w:left w:val="nil"/>
              <w:bottom w:val="single" w:color="auto" w:sz="4" w:space="0"/>
              <w:right w:val="single" w:color="auto" w:sz="4" w:space="0"/>
            </w:tcBorders>
            <w:noWrap w:val="0"/>
            <w:vAlign w:val="center"/>
          </w:tcPr>
          <w:p w14:paraId="215C64F0">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20</w:t>
            </w:r>
          </w:p>
        </w:tc>
        <w:tc>
          <w:tcPr>
            <w:tcW w:w="456" w:type="pct"/>
            <w:tcBorders>
              <w:top w:val="single" w:color="auto" w:sz="4" w:space="0"/>
              <w:left w:val="nil"/>
              <w:bottom w:val="single" w:color="auto" w:sz="4" w:space="0"/>
              <w:right w:val="single" w:color="auto" w:sz="4" w:space="0"/>
            </w:tcBorders>
            <w:noWrap w:val="0"/>
            <w:vAlign w:val="center"/>
          </w:tcPr>
          <w:p w14:paraId="2AF73D79">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24</w:t>
            </w:r>
          </w:p>
        </w:tc>
        <w:tc>
          <w:tcPr>
            <w:tcW w:w="559" w:type="pct"/>
            <w:tcBorders>
              <w:top w:val="single" w:color="auto" w:sz="4" w:space="0"/>
              <w:left w:val="single" w:color="auto" w:sz="4" w:space="0"/>
              <w:bottom w:val="single" w:color="000000" w:sz="4" w:space="0"/>
              <w:right w:val="single" w:color="auto" w:sz="4" w:space="0"/>
            </w:tcBorders>
            <w:noWrap w:val="0"/>
            <w:vAlign w:val="center"/>
          </w:tcPr>
          <w:p w14:paraId="18A6A8EB">
            <w:pPr>
              <w:widowControl/>
              <w:jc w:val="center"/>
              <w:rPr>
                <w:rFonts w:ascii="宋体" w:hAnsi="宋体" w:cs="宋体"/>
                <w:color w:val="auto"/>
                <w:kern w:val="0"/>
                <w:szCs w:val="21"/>
                <w:highlight w:val="none"/>
              </w:rPr>
            </w:pPr>
            <w:r>
              <w:rPr>
                <w:rFonts w:hint="eastAsia" w:ascii="宋体" w:hAnsi="宋体" w:cs="宋体"/>
                <w:strike w:val="0"/>
                <w:dstrike w:val="0"/>
                <w:color w:val="auto"/>
                <w:kern w:val="0"/>
                <w:szCs w:val="21"/>
                <w:highlight w:val="none"/>
                <w:u w:val="none"/>
                <w:shd w:val="clear" w:fill="auto"/>
              </w:rPr>
              <w:t>　</w:t>
            </w:r>
          </w:p>
        </w:tc>
      </w:tr>
      <w:tr w14:paraId="4DD09DBF">
        <w:tblPrEx>
          <w:tblCellMar>
            <w:top w:w="0" w:type="dxa"/>
            <w:left w:w="108" w:type="dxa"/>
            <w:bottom w:w="0" w:type="dxa"/>
            <w:right w:w="108" w:type="dxa"/>
          </w:tblCellMar>
        </w:tblPrEx>
        <w:trPr>
          <w:cantSplit/>
          <w:trHeight w:val="285" w:hRule="atLeast"/>
          <w:jc w:val="center"/>
        </w:trPr>
        <w:tc>
          <w:tcPr>
            <w:tcW w:w="314" w:type="pct"/>
            <w:tcBorders>
              <w:top w:val="nil"/>
              <w:left w:val="single" w:color="auto" w:sz="4" w:space="0"/>
              <w:bottom w:val="single" w:color="auto" w:sz="4" w:space="0"/>
              <w:right w:val="single" w:color="auto" w:sz="4" w:space="0"/>
            </w:tcBorders>
            <w:noWrap w:val="0"/>
            <w:vAlign w:val="center"/>
          </w:tcPr>
          <w:p w14:paraId="07E15EB9">
            <w:pPr>
              <w:widowControl/>
              <w:jc w:val="center"/>
              <w:rPr>
                <w:rFonts w:ascii="宋体" w:hAnsi="宋体" w:cs="宋体"/>
                <w:color w:val="auto"/>
                <w:kern w:val="0"/>
                <w:szCs w:val="21"/>
                <w:highlight w:val="none"/>
              </w:rPr>
            </w:pPr>
            <w:r>
              <w:rPr>
                <w:rFonts w:ascii="宋体" w:hAnsi="宋体" w:cs="宋体"/>
                <w:color w:val="auto"/>
                <w:kern w:val="0"/>
                <w:szCs w:val="21"/>
                <w:highlight w:val="none"/>
              </w:rPr>
              <w:t>4</w:t>
            </w:r>
          </w:p>
        </w:tc>
        <w:tc>
          <w:tcPr>
            <w:tcW w:w="1459" w:type="pct"/>
            <w:tcBorders>
              <w:top w:val="nil"/>
              <w:left w:val="nil"/>
              <w:bottom w:val="single" w:color="auto" w:sz="4" w:space="0"/>
              <w:right w:val="single" w:color="auto" w:sz="4" w:space="0"/>
            </w:tcBorders>
            <w:noWrap w:val="0"/>
            <w:vAlign w:val="center"/>
          </w:tcPr>
          <w:p w14:paraId="24815C1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投资</w:t>
            </w:r>
            <w:r>
              <w:rPr>
                <w:rFonts w:ascii="宋体" w:hAnsi="宋体" w:cs="宋体"/>
                <w:color w:val="auto"/>
                <w:kern w:val="0"/>
                <w:szCs w:val="21"/>
                <w:highlight w:val="none"/>
              </w:rPr>
              <w:t>5000-7500万元</w:t>
            </w:r>
          </w:p>
        </w:tc>
        <w:tc>
          <w:tcPr>
            <w:tcW w:w="412" w:type="pct"/>
            <w:tcBorders>
              <w:top w:val="nil"/>
              <w:left w:val="nil"/>
              <w:bottom w:val="single" w:color="auto" w:sz="4" w:space="0"/>
              <w:right w:val="single" w:color="auto" w:sz="4" w:space="0"/>
            </w:tcBorders>
            <w:noWrap w:val="0"/>
            <w:vAlign w:val="center"/>
          </w:tcPr>
          <w:p w14:paraId="63C4820C">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20</w:t>
            </w:r>
          </w:p>
        </w:tc>
        <w:tc>
          <w:tcPr>
            <w:tcW w:w="443" w:type="pct"/>
            <w:tcBorders>
              <w:top w:val="nil"/>
              <w:left w:val="nil"/>
              <w:bottom w:val="single" w:color="auto" w:sz="4" w:space="0"/>
              <w:right w:val="single" w:color="auto" w:sz="4" w:space="0"/>
            </w:tcBorders>
            <w:noWrap w:val="0"/>
            <w:vAlign w:val="center"/>
          </w:tcPr>
          <w:p w14:paraId="7DB93C8F">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23</w:t>
            </w:r>
          </w:p>
        </w:tc>
        <w:tc>
          <w:tcPr>
            <w:tcW w:w="481" w:type="pct"/>
            <w:tcBorders>
              <w:top w:val="nil"/>
              <w:left w:val="nil"/>
              <w:bottom w:val="single" w:color="auto" w:sz="4" w:space="0"/>
              <w:right w:val="single" w:color="auto" w:sz="4" w:space="0"/>
            </w:tcBorders>
            <w:noWrap w:val="0"/>
            <w:vAlign w:val="center"/>
          </w:tcPr>
          <w:p w14:paraId="7E11AAA7">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21</w:t>
            </w:r>
          </w:p>
        </w:tc>
        <w:tc>
          <w:tcPr>
            <w:tcW w:w="443" w:type="pct"/>
            <w:tcBorders>
              <w:top w:val="nil"/>
              <w:left w:val="nil"/>
              <w:bottom w:val="single" w:color="auto" w:sz="4" w:space="0"/>
              <w:right w:val="single" w:color="auto" w:sz="4" w:space="0"/>
            </w:tcBorders>
            <w:noWrap w:val="0"/>
            <w:vAlign w:val="center"/>
          </w:tcPr>
          <w:p w14:paraId="7DE19626">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25</w:t>
            </w:r>
          </w:p>
        </w:tc>
        <w:tc>
          <w:tcPr>
            <w:tcW w:w="431" w:type="pct"/>
            <w:tcBorders>
              <w:top w:val="nil"/>
              <w:left w:val="nil"/>
              <w:bottom w:val="single" w:color="auto" w:sz="4" w:space="0"/>
              <w:right w:val="single" w:color="auto" w:sz="4" w:space="0"/>
            </w:tcBorders>
            <w:noWrap w:val="0"/>
            <w:vAlign w:val="center"/>
          </w:tcPr>
          <w:p w14:paraId="300968B6">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23</w:t>
            </w:r>
          </w:p>
        </w:tc>
        <w:tc>
          <w:tcPr>
            <w:tcW w:w="456" w:type="pct"/>
            <w:tcBorders>
              <w:top w:val="nil"/>
              <w:left w:val="nil"/>
              <w:bottom w:val="single" w:color="auto" w:sz="4" w:space="0"/>
              <w:right w:val="single" w:color="auto" w:sz="4" w:space="0"/>
            </w:tcBorders>
            <w:noWrap w:val="0"/>
            <w:vAlign w:val="center"/>
          </w:tcPr>
          <w:p w14:paraId="21993C38">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28</w:t>
            </w:r>
          </w:p>
        </w:tc>
        <w:tc>
          <w:tcPr>
            <w:tcW w:w="559" w:type="pct"/>
            <w:tcBorders>
              <w:top w:val="single" w:color="auto" w:sz="4" w:space="0"/>
              <w:left w:val="single" w:color="auto" w:sz="4" w:space="0"/>
              <w:bottom w:val="single" w:color="000000" w:sz="4" w:space="0"/>
              <w:right w:val="single" w:color="auto" w:sz="4" w:space="0"/>
            </w:tcBorders>
            <w:noWrap w:val="0"/>
            <w:vAlign w:val="center"/>
          </w:tcPr>
          <w:p w14:paraId="09CF7106">
            <w:pPr>
              <w:widowControl/>
              <w:jc w:val="left"/>
              <w:rPr>
                <w:rFonts w:ascii="宋体" w:hAnsi="宋体" w:cs="宋体"/>
                <w:color w:val="auto"/>
                <w:kern w:val="0"/>
                <w:szCs w:val="21"/>
                <w:highlight w:val="none"/>
              </w:rPr>
            </w:pPr>
          </w:p>
        </w:tc>
      </w:tr>
      <w:tr w14:paraId="70B29D0F">
        <w:tblPrEx>
          <w:tblCellMar>
            <w:top w:w="0" w:type="dxa"/>
            <w:left w:w="108" w:type="dxa"/>
            <w:bottom w:w="0" w:type="dxa"/>
            <w:right w:w="108" w:type="dxa"/>
          </w:tblCellMar>
        </w:tblPrEx>
        <w:trPr>
          <w:cantSplit/>
          <w:trHeight w:val="285" w:hRule="atLeast"/>
          <w:jc w:val="center"/>
        </w:trPr>
        <w:tc>
          <w:tcPr>
            <w:tcW w:w="314" w:type="pct"/>
            <w:tcBorders>
              <w:top w:val="nil"/>
              <w:left w:val="single" w:color="auto" w:sz="4" w:space="0"/>
              <w:bottom w:val="single" w:color="auto" w:sz="4" w:space="0"/>
              <w:right w:val="single" w:color="auto" w:sz="4" w:space="0"/>
            </w:tcBorders>
            <w:noWrap w:val="0"/>
            <w:vAlign w:val="center"/>
          </w:tcPr>
          <w:p w14:paraId="02C69166">
            <w:pPr>
              <w:widowControl/>
              <w:jc w:val="center"/>
              <w:rPr>
                <w:rFonts w:ascii="宋体" w:hAnsi="宋体" w:cs="宋体"/>
                <w:color w:val="auto"/>
                <w:kern w:val="0"/>
                <w:szCs w:val="21"/>
                <w:highlight w:val="none"/>
              </w:rPr>
            </w:pPr>
            <w:r>
              <w:rPr>
                <w:rFonts w:ascii="宋体" w:hAnsi="宋体" w:cs="宋体"/>
                <w:color w:val="auto"/>
                <w:kern w:val="0"/>
                <w:szCs w:val="21"/>
                <w:highlight w:val="none"/>
              </w:rPr>
              <w:t>5</w:t>
            </w:r>
          </w:p>
        </w:tc>
        <w:tc>
          <w:tcPr>
            <w:tcW w:w="1459" w:type="pct"/>
            <w:tcBorders>
              <w:top w:val="nil"/>
              <w:left w:val="nil"/>
              <w:bottom w:val="single" w:color="auto" w:sz="4" w:space="0"/>
              <w:right w:val="single" w:color="auto" w:sz="4" w:space="0"/>
            </w:tcBorders>
            <w:noWrap w:val="0"/>
            <w:vAlign w:val="center"/>
          </w:tcPr>
          <w:p w14:paraId="02257F2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投资</w:t>
            </w:r>
            <w:r>
              <w:rPr>
                <w:rFonts w:ascii="宋体" w:hAnsi="宋体" w:cs="宋体"/>
                <w:color w:val="auto"/>
                <w:kern w:val="0"/>
                <w:szCs w:val="21"/>
                <w:highlight w:val="none"/>
              </w:rPr>
              <w:t>7500-10000万元</w:t>
            </w:r>
          </w:p>
        </w:tc>
        <w:tc>
          <w:tcPr>
            <w:tcW w:w="412" w:type="pct"/>
            <w:tcBorders>
              <w:top w:val="nil"/>
              <w:left w:val="nil"/>
              <w:bottom w:val="single" w:color="auto" w:sz="4" w:space="0"/>
              <w:right w:val="single" w:color="auto" w:sz="4" w:space="0"/>
            </w:tcBorders>
            <w:noWrap w:val="0"/>
            <w:vAlign w:val="center"/>
          </w:tcPr>
          <w:p w14:paraId="662C4D2C">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23</w:t>
            </w:r>
          </w:p>
        </w:tc>
        <w:tc>
          <w:tcPr>
            <w:tcW w:w="443" w:type="pct"/>
            <w:tcBorders>
              <w:top w:val="nil"/>
              <w:left w:val="nil"/>
              <w:bottom w:val="single" w:color="auto" w:sz="4" w:space="0"/>
              <w:right w:val="single" w:color="auto" w:sz="4" w:space="0"/>
            </w:tcBorders>
            <w:noWrap w:val="0"/>
            <w:vAlign w:val="center"/>
          </w:tcPr>
          <w:p w14:paraId="6BC66E15">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27</w:t>
            </w:r>
          </w:p>
        </w:tc>
        <w:tc>
          <w:tcPr>
            <w:tcW w:w="481" w:type="pct"/>
            <w:tcBorders>
              <w:top w:val="nil"/>
              <w:left w:val="nil"/>
              <w:bottom w:val="single" w:color="auto" w:sz="4" w:space="0"/>
              <w:right w:val="single" w:color="auto" w:sz="4" w:space="0"/>
            </w:tcBorders>
            <w:noWrap w:val="0"/>
            <w:vAlign w:val="center"/>
          </w:tcPr>
          <w:p w14:paraId="6EB454C0">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24</w:t>
            </w:r>
          </w:p>
        </w:tc>
        <w:tc>
          <w:tcPr>
            <w:tcW w:w="443" w:type="pct"/>
            <w:tcBorders>
              <w:top w:val="nil"/>
              <w:left w:val="nil"/>
              <w:bottom w:val="single" w:color="auto" w:sz="4" w:space="0"/>
              <w:right w:val="single" w:color="auto" w:sz="4" w:space="0"/>
            </w:tcBorders>
            <w:noWrap w:val="0"/>
            <w:vAlign w:val="center"/>
          </w:tcPr>
          <w:p w14:paraId="565BCF17">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29</w:t>
            </w:r>
          </w:p>
        </w:tc>
        <w:tc>
          <w:tcPr>
            <w:tcW w:w="431" w:type="pct"/>
            <w:tcBorders>
              <w:top w:val="nil"/>
              <w:left w:val="nil"/>
              <w:bottom w:val="single" w:color="auto" w:sz="4" w:space="0"/>
              <w:right w:val="single" w:color="auto" w:sz="4" w:space="0"/>
            </w:tcBorders>
            <w:noWrap w:val="0"/>
            <w:vAlign w:val="center"/>
          </w:tcPr>
          <w:p w14:paraId="016669A3">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26</w:t>
            </w:r>
          </w:p>
        </w:tc>
        <w:tc>
          <w:tcPr>
            <w:tcW w:w="456" w:type="pct"/>
            <w:tcBorders>
              <w:top w:val="nil"/>
              <w:left w:val="nil"/>
              <w:bottom w:val="single" w:color="auto" w:sz="4" w:space="0"/>
              <w:right w:val="single" w:color="auto" w:sz="4" w:space="0"/>
            </w:tcBorders>
            <w:noWrap w:val="0"/>
            <w:vAlign w:val="center"/>
          </w:tcPr>
          <w:p w14:paraId="15B34009">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31</w:t>
            </w:r>
          </w:p>
        </w:tc>
        <w:tc>
          <w:tcPr>
            <w:tcW w:w="559" w:type="pct"/>
            <w:tcBorders>
              <w:top w:val="single" w:color="auto" w:sz="4" w:space="0"/>
              <w:left w:val="single" w:color="auto" w:sz="4" w:space="0"/>
              <w:bottom w:val="single" w:color="000000" w:sz="4" w:space="0"/>
              <w:right w:val="single" w:color="auto" w:sz="4" w:space="0"/>
            </w:tcBorders>
            <w:noWrap w:val="0"/>
            <w:vAlign w:val="center"/>
          </w:tcPr>
          <w:p w14:paraId="6E1C714A">
            <w:pPr>
              <w:widowControl/>
              <w:jc w:val="left"/>
              <w:rPr>
                <w:rFonts w:ascii="宋体" w:hAnsi="宋体" w:cs="宋体"/>
                <w:color w:val="auto"/>
                <w:kern w:val="0"/>
                <w:szCs w:val="21"/>
                <w:highlight w:val="none"/>
              </w:rPr>
            </w:pPr>
          </w:p>
        </w:tc>
      </w:tr>
      <w:tr w14:paraId="5709AD19">
        <w:tblPrEx>
          <w:tblCellMar>
            <w:top w:w="0" w:type="dxa"/>
            <w:left w:w="108" w:type="dxa"/>
            <w:bottom w:w="0" w:type="dxa"/>
            <w:right w:w="108" w:type="dxa"/>
          </w:tblCellMar>
        </w:tblPrEx>
        <w:trPr>
          <w:cantSplit/>
          <w:trHeight w:val="285" w:hRule="atLeast"/>
          <w:jc w:val="center"/>
        </w:trPr>
        <w:tc>
          <w:tcPr>
            <w:tcW w:w="314" w:type="pct"/>
            <w:tcBorders>
              <w:top w:val="nil"/>
              <w:left w:val="single" w:color="auto" w:sz="4" w:space="0"/>
              <w:bottom w:val="single" w:color="auto" w:sz="4" w:space="0"/>
              <w:right w:val="single" w:color="auto" w:sz="4" w:space="0"/>
            </w:tcBorders>
            <w:noWrap w:val="0"/>
            <w:vAlign w:val="center"/>
          </w:tcPr>
          <w:p w14:paraId="01FEC9ED">
            <w:pPr>
              <w:widowControl/>
              <w:jc w:val="center"/>
              <w:rPr>
                <w:rFonts w:ascii="宋体" w:hAnsi="宋体" w:cs="宋体"/>
                <w:color w:val="auto"/>
                <w:kern w:val="0"/>
                <w:szCs w:val="21"/>
                <w:highlight w:val="none"/>
              </w:rPr>
            </w:pPr>
            <w:r>
              <w:rPr>
                <w:rFonts w:ascii="宋体" w:hAnsi="宋体" w:cs="宋体"/>
                <w:color w:val="auto"/>
                <w:kern w:val="0"/>
                <w:szCs w:val="21"/>
                <w:highlight w:val="none"/>
              </w:rPr>
              <w:t>6</w:t>
            </w:r>
          </w:p>
        </w:tc>
        <w:tc>
          <w:tcPr>
            <w:tcW w:w="1459" w:type="pct"/>
            <w:tcBorders>
              <w:top w:val="nil"/>
              <w:left w:val="nil"/>
              <w:bottom w:val="single" w:color="auto" w:sz="4" w:space="0"/>
              <w:right w:val="single" w:color="auto" w:sz="4" w:space="0"/>
            </w:tcBorders>
            <w:noWrap w:val="0"/>
            <w:vAlign w:val="center"/>
          </w:tcPr>
          <w:p w14:paraId="7ED8BF6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投资</w:t>
            </w:r>
            <w:r>
              <w:rPr>
                <w:rFonts w:ascii="宋体" w:hAnsi="宋体" w:cs="宋体"/>
                <w:color w:val="auto"/>
                <w:kern w:val="0"/>
                <w:szCs w:val="21"/>
                <w:highlight w:val="none"/>
              </w:rPr>
              <w:t>10000万元以上</w:t>
            </w:r>
          </w:p>
        </w:tc>
        <w:tc>
          <w:tcPr>
            <w:tcW w:w="412" w:type="pct"/>
            <w:tcBorders>
              <w:top w:val="nil"/>
              <w:left w:val="nil"/>
              <w:bottom w:val="single" w:color="auto" w:sz="4" w:space="0"/>
              <w:right w:val="single" w:color="auto" w:sz="4" w:space="0"/>
            </w:tcBorders>
            <w:noWrap w:val="0"/>
            <w:vAlign w:val="center"/>
          </w:tcPr>
          <w:p w14:paraId="67FDCE49">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26</w:t>
            </w:r>
          </w:p>
        </w:tc>
        <w:tc>
          <w:tcPr>
            <w:tcW w:w="443" w:type="pct"/>
            <w:tcBorders>
              <w:top w:val="nil"/>
              <w:left w:val="nil"/>
              <w:bottom w:val="single" w:color="auto" w:sz="4" w:space="0"/>
              <w:right w:val="single" w:color="auto" w:sz="4" w:space="0"/>
            </w:tcBorders>
            <w:noWrap w:val="0"/>
            <w:vAlign w:val="center"/>
          </w:tcPr>
          <w:p w14:paraId="09BC90A0">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30</w:t>
            </w:r>
          </w:p>
        </w:tc>
        <w:tc>
          <w:tcPr>
            <w:tcW w:w="481" w:type="pct"/>
            <w:tcBorders>
              <w:top w:val="nil"/>
              <w:left w:val="nil"/>
              <w:bottom w:val="single" w:color="auto" w:sz="4" w:space="0"/>
              <w:right w:val="single" w:color="auto" w:sz="4" w:space="0"/>
            </w:tcBorders>
            <w:noWrap w:val="0"/>
            <w:vAlign w:val="center"/>
          </w:tcPr>
          <w:p w14:paraId="6B16E4A5">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27</w:t>
            </w:r>
          </w:p>
        </w:tc>
        <w:tc>
          <w:tcPr>
            <w:tcW w:w="443" w:type="pct"/>
            <w:tcBorders>
              <w:top w:val="nil"/>
              <w:left w:val="nil"/>
              <w:bottom w:val="single" w:color="auto" w:sz="4" w:space="0"/>
              <w:right w:val="single" w:color="auto" w:sz="4" w:space="0"/>
            </w:tcBorders>
            <w:noWrap w:val="0"/>
            <w:vAlign w:val="center"/>
          </w:tcPr>
          <w:p w14:paraId="7A7588DC">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33</w:t>
            </w:r>
          </w:p>
        </w:tc>
        <w:tc>
          <w:tcPr>
            <w:tcW w:w="431" w:type="pct"/>
            <w:tcBorders>
              <w:top w:val="nil"/>
              <w:left w:val="nil"/>
              <w:bottom w:val="single" w:color="auto" w:sz="4" w:space="0"/>
              <w:right w:val="single" w:color="auto" w:sz="4" w:space="0"/>
            </w:tcBorders>
            <w:noWrap w:val="0"/>
            <w:vAlign w:val="center"/>
          </w:tcPr>
          <w:p w14:paraId="75952799">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28</w:t>
            </w:r>
          </w:p>
        </w:tc>
        <w:tc>
          <w:tcPr>
            <w:tcW w:w="456" w:type="pct"/>
            <w:tcBorders>
              <w:top w:val="nil"/>
              <w:left w:val="nil"/>
              <w:bottom w:val="single" w:color="auto" w:sz="4" w:space="0"/>
              <w:right w:val="single" w:color="auto" w:sz="4" w:space="0"/>
            </w:tcBorders>
            <w:noWrap w:val="0"/>
            <w:vAlign w:val="center"/>
          </w:tcPr>
          <w:p w14:paraId="777DF7DE">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35</w:t>
            </w:r>
          </w:p>
        </w:tc>
        <w:tc>
          <w:tcPr>
            <w:tcW w:w="559" w:type="pct"/>
            <w:tcBorders>
              <w:top w:val="single" w:color="auto" w:sz="4" w:space="0"/>
              <w:left w:val="single" w:color="auto" w:sz="4" w:space="0"/>
              <w:bottom w:val="single" w:color="000000" w:sz="4" w:space="0"/>
              <w:right w:val="single" w:color="auto" w:sz="4" w:space="0"/>
            </w:tcBorders>
            <w:noWrap w:val="0"/>
            <w:vAlign w:val="center"/>
          </w:tcPr>
          <w:p w14:paraId="6072742C">
            <w:pPr>
              <w:widowControl/>
              <w:jc w:val="left"/>
              <w:rPr>
                <w:rFonts w:ascii="宋体" w:hAnsi="宋体" w:cs="宋体"/>
                <w:color w:val="auto"/>
                <w:kern w:val="0"/>
                <w:szCs w:val="21"/>
                <w:highlight w:val="none"/>
              </w:rPr>
            </w:pPr>
          </w:p>
        </w:tc>
      </w:tr>
    </w:tbl>
    <w:p w14:paraId="42AF9F44">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以上时限为完成工程造价成果文件的全部时间，包括编审、对数、现场勘察及复核后修改等时间。具体每项工程的完成时间，以具体任务规定的完成时限为准。</w:t>
      </w:r>
    </w:p>
    <w:p w14:paraId="5FAB75D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cs="宋体"/>
          <w:sz w:val="24"/>
          <w:szCs w:val="24"/>
          <w:highlight w:val="none"/>
          <w:lang w:val="zh-CN" w:eastAsia="zh-CN"/>
        </w:rPr>
        <w:t>（</w:t>
      </w:r>
      <w:r>
        <w:rPr>
          <w:rFonts w:hint="eastAsia" w:ascii="宋体" w:hAnsi="宋体" w:cs="宋体"/>
          <w:sz w:val="24"/>
          <w:szCs w:val="24"/>
          <w:highlight w:val="none"/>
          <w:lang w:val="en-US" w:eastAsia="zh-CN"/>
        </w:rPr>
        <w:t>三</w:t>
      </w:r>
      <w:r>
        <w:rPr>
          <w:rFonts w:hint="eastAsia" w:ascii="宋体" w:hAnsi="宋体" w:cs="宋体"/>
          <w:sz w:val="24"/>
          <w:szCs w:val="24"/>
          <w:highlight w:val="none"/>
          <w:lang w:val="zh-CN" w:eastAsia="zh-CN"/>
        </w:rPr>
        <w:t>）</w:t>
      </w:r>
      <w:r>
        <w:rPr>
          <w:rFonts w:hint="eastAsia" w:ascii="宋体" w:hAnsi="宋体" w:eastAsia="宋体" w:cs="宋体"/>
          <w:sz w:val="24"/>
          <w:szCs w:val="24"/>
          <w:highlight w:val="none"/>
          <w:lang w:val="zh-CN" w:eastAsia="zh-CN"/>
        </w:rPr>
        <w:t>造价咨询人员的专业配套要求</w:t>
      </w:r>
    </w:p>
    <w:p w14:paraId="6229D92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1、若建设单位要求服务单位针对特定项目提供驻场服务，服务单位有义务派出专业人员驻场开展工作，驻场场地由建设单位提供。</w:t>
      </w:r>
    </w:p>
    <w:p w14:paraId="2F22CE2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2、服务单位应满足以下要求，若可提供更优条件也可接受。</w:t>
      </w:r>
    </w:p>
    <w:p w14:paraId="6C757E9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（1）拥有充足的人力、财力、物力及技术能力等资源，可保证按时按质按量完成委托的工程造价咨询业务。</w:t>
      </w:r>
    </w:p>
    <w:p w14:paraId="16ACD96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2）配备持有相应资质的各类工程高中级专业技术人员，团队具备丰富的工程预结算编审经验；要求熟悉一般土建、安装、装饰、市政和园林绿化等专业工程，具备对应专业的编审能力与相关经验，并配有对应专业的从业人员或专家。</w:t>
      </w:r>
    </w:p>
    <w:p w14:paraId="4C6967F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（3）拥有丰富的基建工程预结算编审业绩，涵盖财政性资金投资项目，且所有项目完成情况良好。</w:t>
      </w:r>
    </w:p>
    <w:p w14:paraId="624177F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（4）具备健全的组织机构与内部管理制度，拥有完善的质量保证体系和技术经济档案管理制度，服务态度良好，具备较好的社会信誉。</w:t>
      </w:r>
    </w:p>
    <w:p w14:paraId="596AE16C">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（5）熟悉国家、省、市财政部门关于财政性资金基本建设投资管理相关的政策、法规，掌握相关业务知识，且具备相应实践经验。</w:t>
      </w:r>
    </w:p>
    <w:p w14:paraId="201D9C4A">
      <w:pPr>
        <w:spacing w:line="400" w:lineRule="exact"/>
        <w:ind w:firstLine="480" w:firstLineChars="200"/>
        <w:rPr>
          <w:rFonts w:hint="eastAsia" w:ascii="宋体" w:hAnsi="宋体" w:eastAsia="宋体" w:cs="宋体"/>
          <w:sz w:val="24"/>
          <w:szCs w:val="24"/>
          <w:highlight w:val="none"/>
          <w:lang w:val="zh-CN" w:eastAsia="zh-CN"/>
        </w:rPr>
      </w:pPr>
      <w:bookmarkStart w:id="0" w:name="_OAIPolishBK_0"/>
      <w:r>
        <w:rPr>
          <w:rFonts w:hint="eastAsia" w:ascii="宋体" w:hAnsi="宋体" w:eastAsia="宋体" w:cs="宋体"/>
          <w:sz w:val="24"/>
          <w:szCs w:val="24"/>
          <w:highlight w:val="none"/>
          <w:lang w:val="zh-CN" w:eastAsia="zh-CN"/>
        </w:rPr>
        <w:t>（</w:t>
      </w: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lang w:val="zh-CN" w:eastAsia="zh-CN"/>
        </w:rPr>
        <w:t>）工程造价咨询工作主要范围：</w:t>
      </w:r>
    </w:p>
    <w:p w14:paraId="4DBD0958">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eastAsia="zh-CN"/>
        </w:rPr>
        <w:t>包括但不限于：编制（或审核）预算（含最高限价）、招标工程量清单、工程进度款及结算编制（或审核）等工作。</w:t>
      </w:r>
      <w:bookmarkEnd w:id="0"/>
      <w:bookmarkStart w:id="1" w:name="_OAIPolishBK_1"/>
      <w:r>
        <w:rPr>
          <w:rFonts w:hint="eastAsia" w:ascii="宋体" w:hAnsi="宋体" w:eastAsia="宋体" w:cs="宋体"/>
          <w:sz w:val="24"/>
          <w:szCs w:val="24"/>
          <w:highlight w:val="none"/>
          <w:lang w:val="zh-CN" w:eastAsia="zh-CN"/>
        </w:rPr>
        <w:t>工程造价咨询分为预算编制、预算审核、结算编审三类工作。预算编制类包括：预算编制（含最高限价）、招标工程量清单编制；</w:t>
      </w:r>
      <w:bookmarkEnd w:id="1"/>
      <w:bookmarkStart w:id="2" w:name="_OAIPolishBK_2"/>
      <w:r>
        <w:rPr>
          <w:rFonts w:hint="eastAsia" w:ascii="宋体" w:hAnsi="宋体" w:eastAsia="宋体" w:cs="宋体"/>
          <w:sz w:val="24"/>
          <w:szCs w:val="24"/>
          <w:highlight w:val="none"/>
          <w:lang w:val="zh-CN" w:eastAsia="zh-CN"/>
        </w:rPr>
        <w:t>预算审核类包括：预算（含最高限价）审核、招标工程量清单审核；</w:t>
      </w:r>
      <w:bookmarkEnd w:id="2"/>
      <w:bookmarkStart w:id="3" w:name="_OAIPolishBK_3"/>
      <w:r>
        <w:rPr>
          <w:rFonts w:hint="eastAsia" w:ascii="宋体" w:hAnsi="宋体" w:eastAsia="宋体" w:cs="宋体"/>
          <w:sz w:val="24"/>
          <w:szCs w:val="24"/>
          <w:highlight w:val="none"/>
          <w:lang w:val="zh-CN" w:eastAsia="zh-CN"/>
        </w:rPr>
        <w:t>结算编审类包括结算编制、结算审核。</w:t>
      </w:r>
    </w:p>
    <w:p w14:paraId="00CA8EF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2、服务单位须认真遵守职业道德和行业规范，</w:t>
      </w:r>
      <w:bookmarkEnd w:id="3"/>
      <w:r>
        <w:rPr>
          <w:rFonts w:hint="eastAsia" w:ascii="宋体" w:hAnsi="宋体" w:eastAsia="宋体" w:cs="宋体"/>
          <w:sz w:val="24"/>
          <w:szCs w:val="24"/>
          <w:highlight w:val="none"/>
          <w:lang w:val="zh-CN" w:eastAsia="zh-CN"/>
        </w:rPr>
        <w:t>严禁弄虚作假、营私舞弊，</w:t>
      </w:r>
      <w:bookmarkStart w:id="4" w:name="_OAIPolishBK_4"/>
      <w:r>
        <w:rPr>
          <w:rFonts w:hint="eastAsia" w:ascii="宋体" w:hAnsi="宋体" w:eastAsia="宋体" w:cs="宋体"/>
          <w:sz w:val="24"/>
          <w:szCs w:val="24"/>
          <w:highlight w:val="none"/>
          <w:lang w:val="zh-CN" w:eastAsia="zh-CN"/>
        </w:rPr>
        <w:t>严格执行国家法律法规及相关行业规定。按规定缴纳税费，必须提供带</w:t>
      </w:r>
      <w:r>
        <w:rPr>
          <w:rFonts w:hint="eastAsia" w:ascii="宋体" w:hAnsi="宋体" w:eastAsia="宋体" w:cs="宋体"/>
          <w:strike w:val="0"/>
          <w:dstrike w:val="0"/>
          <w:color w:val="auto"/>
          <w:sz w:val="24"/>
          <w:szCs w:val="24"/>
          <w:highlight w:val="none"/>
          <w:u w:val="none"/>
          <w:shd w:val="clear" w:fill="auto"/>
          <w:lang w:val="zh-CN" w:eastAsia="zh-CN"/>
        </w:rPr>
        <w:t>税</w:t>
      </w:r>
      <w:r>
        <w:rPr>
          <w:rFonts w:hint="eastAsia" w:ascii="宋体" w:hAnsi="宋体" w:eastAsia="宋体" w:cs="宋体"/>
          <w:sz w:val="24"/>
          <w:szCs w:val="24"/>
          <w:highlight w:val="none"/>
          <w:lang w:val="zh-CN" w:eastAsia="zh-CN"/>
        </w:rPr>
        <w:t>章的增值税专用发票。</w:t>
      </w:r>
    </w:p>
    <w:p w14:paraId="0F3A47E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3、根据国家和省、市有关工程造价的法规、政策、文件</w:t>
      </w:r>
      <w:r>
        <w:rPr>
          <w:rFonts w:hint="eastAsia" w:ascii="宋体" w:hAnsi="宋体" w:eastAsia="宋体" w:cs="宋体"/>
          <w:strike w:val="0"/>
          <w:dstrike w:val="0"/>
          <w:color w:val="auto"/>
          <w:sz w:val="24"/>
          <w:szCs w:val="24"/>
          <w:highlight w:val="none"/>
          <w:u w:val="none"/>
          <w:shd w:val="clear" w:fill="auto"/>
          <w:lang w:val="zh-CN" w:eastAsia="zh-CN"/>
        </w:rPr>
        <w:t>、</w:t>
      </w:r>
      <w:r>
        <w:rPr>
          <w:rFonts w:hint="eastAsia" w:ascii="宋体" w:hAnsi="宋体" w:eastAsia="宋体" w:cs="宋体"/>
          <w:sz w:val="24"/>
          <w:szCs w:val="24"/>
          <w:highlight w:val="none"/>
          <w:lang w:val="zh-CN" w:eastAsia="zh-CN"/>
        </w:rPr>
        <w:t>以及基建财务管理的有关规定，本着为政府节约投资的原则，</w:t>
      </w:r>
      <w:bookmarkEnd w:id="4"/>
      <w:r>
        <w:rPr>
          <w:rFonts w:hint="eastAsia" w:ascii="宋体" w:hAnsi="宋体" w:eastAsia="宋体" w:cs="宋体"/>
          <w:sz w:val="24"/>
          <w:szCs w:val="24"/>
          <w:highlight w:val="none"/>
          <w:lang w:val="zh-CN" w:eastAsia="zh-CN"/>
        </w:rPr>
        <w:t>科学、客观、公正地开展工程造价咨询工作；</w:t>
      </w:r>
      <w:bookmarkStart w:id="5" w:name="_OAIPolishBK_5"/>
      <w:r>
        <w:rPr>
          <w:rFonts w:hint="eastAsia" w:ascii="宋体" w:hAnsi="宋体" w:eastAsia="宋体" w:cs="宋体"/>
          <w:sz w:val="24"/>
          <w:szCs w:val="24"/>
          <w:highlight w:val="none"/>
          <w:lang w:val="zh-CN" w:eastAsia="zh-CN"/>
        </w:rPr>
        <w:t>应按采购人及建设单位的要求，按时按质按量提供咨询报告，</w:t>
      </w:r>
      <w:bookmarkEnd w:id="5"/>
      <w:bookmarkStart w:id="6" w:name="_OAIPolishBK_6"/>
      <w:r>
        <w:rPr>
          <w:rFonts w:hint="eastAsia" w:ascii="宋体" w:hAnsi="宋体" w:eastAsia="宋体" w:cs="宋体"/>
          <w:sz w:val="24"/>
          <w:szCs w:val="24"/>
          <w:highlight w:val="none"/>
          <w:lang w:val="zh-CN" w:eastAsia="zh-CN"/>
        </w:rPr>
        <w:t>对成果报告的真实性、准确性、完整性、合法性、合理性负责，并负有保密责任。</w:t>
      </w:r>
    </w:p>
    <w:p w14:paraId="394DF1A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4、编制和审核的工程概预算（含最高限价）、招标工程量清单应确保结果完整、科学、准确，</w:t>
      </w:r>
      <w:bookmarkEnd w:id="6"/>
      <w:bookmarkStart w:id="7" w:name="_OAIPolishBK_7"/>
      <w:r>
        <w:rPr>
          <w:rFonts w:hint="eastAsia" w:ascii="宋体" w:hAnsi="宋体" w:eastAsia="宋体" w:cs="宋体"/>
          <w:sz w:val="24"/>
          <w:szCs w:val="24"/>
          <w:highlight w:val="none"/>
          <w:lang w:val="zh-CN" w:eastAsia="zh-CN"/>
        </w:rPr>
        <w:t>符合工程项目的实际情况和国家有关工程计价规范；</w:t>
      </w:r>
      <w:bookmarkEnd w:id="7"/>
      <w:bookmarkStart w:id="8" w:name="_OAIPolishBK_8"/>
      <w:r>
        <w:rPr>
          <w:rFonts w:hint="eastAsia" w:ascii="宋体" w:hAnsi="宋体" w:eastAsia="宋体" w:cs="宋体"/>
          <w:sz w:val="24"/>
          <w:szCs w:val="24"/>
          <w:highlight w:val="none"/>
          <w:lang w:val="zh-CN" w:eastAsia="zh-CN"/>
        </w:rPr>
        <w:t>招标工程量清单设置要科学、合理，不得有高估冒算、虚列项目，也不得有漏项漏量、重项错量等错误，如有上述错误，应负相应的责任。</w:t>
      </w:r>
    </w:p>
    <w:p w14:paraId="6E3AEB18">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5、在编制和审核工程预算（含最高限价）、招标工程量清单的同时，</w:t>
      </w:r>
      <w:bookmarkEnd w:id="8"/>
      <w:r>
        <w:rPr>
          <w:rFonts w:hint="eastAsia" w:ascii="宋体" w:hAnsi="宋体" w:eastAsia="宋体" w:cs="宋体"/>
          <w:sz w:val="24"/>
          <w:szCs w:val="24"/>
          <w:highlight w:val="none"/>
          <w:lang w:val="zh-CN" w:eastAsia="zh-CN"/>
        </w:rPr>
        <w:t>应对建设项目的设计方案作出技术经济分析，</w:t>
      </w:r>
      <w:bookmarkStart w:id="9" w:name="_OAIPolishBK_9"/>
      <w:r>
        <w:rPr>
          <w:rFonts w:hint="eastAsia" w:ascii="宋体" w:hAnsi="宋体" w:eastAsia="宋体" w:cs="宋体"/>
          <w:sz w:val="24"/>
          <w:szCs w:val="24"/>
          <w:highlight w:val="none"/>
          <w:lang w:val="zh-CN" w:eastAsia="zh-CN"/>
        </w:rPr>
        <w:t>向建设单位提出优化方案和合理化建</w:t>
      </w:r>
      <w:r>
        <w:rPr>
          <w:rFonts w:hint="eastAsia" w:ascii="宋体" w:hAnsi="宋体" w:cs="宋体"/>
          <w:strike w:val="0"/>
          <w:dstrike w:val="0"/>
          <w:color w:val="auto"/>
          <w:sz w:val="24"/>
          <w:szCs w:val="24"/>
          <w:highlight w:val="none"/>
          <w:u w:val="none"/>
          <w:shd w:val="clear" w:fill="auto"/>
          <w:lang w:val="zh-CN" w:eastAsia="zh-CN"/>
        </w:rPr>
        <w:t>议</w:t>
      </w:r>
      <w:r>
        <w:rPr>
          <w:rFonts w:hint="eastAsia" w:ascii="宋体" w:hAnsi="宋体" w:eastAsia="宋体" w:cs="宋体"/>
          <w:sz w:val="24"/>
          <w:szCs w:val="24"/>
          <w:highlight w:val="none"/>
          <w:lang w:val="zh-CN" w:eastAsia="zh-CN"/>
        </w:rPr>
        <w:t>。</w:t>
      </w:r>
    </w:p>
    <w:p w14:paraId="39B832C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6、要坚持科学准确、客观真实、公平公正、合理合法、廉洁高效的原则，审核工程竣工结算。必须及时解决结算审核中存在的技术问题，计价原则方法的确定、重大的签证审核以及工程管理中的违规行为要及时向建设单位反映，不得擅自作出处理，要对工程项目的全过程管理依法作出正确的评价。</w:t>
      </w:r>
    </w:p>
    <w:p w14:paraId="41ADF5F5">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7、对存有疑问的地方，应深入现场调查取证，</w:t>
      </w:r>
      <w:bookmarkEnd w:id="9"/>
      <w:bookmarkStart w:id="10" w:name="_OAIPolishBK_10"/>
      <w:r>
        <w:rPr>
          <w:rFonts w:hint="eastAsia" w:ascii="宋体" w:hAnsi="宋体" w:eastAsia="宋体" w:cs="宋体"/>
          <w:sz w:val="24"/>
          <w:szCs w:val="24"/>
          <w:highlight w:val="none"/>
          <w:lang w:val="zh-CN" w:eastAsia="zh-CN"/>
        </w:rPr>
        <w:t>逐一核实，按实际情况调整，保证工程造价成果文件的合理性和真实性。重要的材料或设备价格，应及时跟建设单位沟通，协商确定合理的价格。</w:t>
      </w:r>
    </w:p>
    <w:p w14:paraId="526052F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8、要做好编审依据的收集及取证工作，所有的编审依据必须是有效的书面资料，并妥善保存。整个项目的档案要完整，不能缺损。</w:t>
      </w:r>
    </w:p>
    <w:p w14:paraId="2B6620A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9、不得接受同一项目不同</w:t>
      </w:r>
      <w:r>
        <w:rPr>
          <w:rFonts w:hint="eastAsia" w:ascii="宋体" w:hAnsi="宋体" w:cs="宋体"/>
          <w:strike w:val="0"/>
          <w:dstrike w:val="0"/>
          <w:color w:val="auto"/>
          <w:sz w:val="24"/>
          <w:szCs w:val="24"/>
          <w:highlight w:val="none"/>
          <w:u w:val="none"/>
          <w:shd w:val="clear" w:fill="auto"/>
          <w:lang w:val="zh-CN" w:eastAsia="zh-CN"/>
        </w:rPr>
        <w:t>利益相关方</w:t>
      </w:r>
      <w:r>
        <w:rPr>
          <w:rFonts w:hint="eastAsia" w:ascii="宋体" w:hAnsi="宋体" w:eastAsia="宋体" w:cs="宋体"/>
          <w:sz w:val="24"/>
          <w:szCs w:val="24"/>
          <w:highlight w:val="none"/>
          <w:lang w:val="zh-CN" w:eastAsia="zh-CN"/>
        </w:rPr>
        <w:t>的造价咨询服务委托，即就同一项目既接受建设单位的委托，又接受项目投标供应商、承包单位等相对利益关系人的委托。</w:t>
      </w:r>
    </w:p>
    <w:p w14:paraId="031E62F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eastAsia="zh-CN"/>
        </w:rPr>
        <w:t>0、工程项目的结果未经建设单位许可，不得泄露给他人。服务单位对本项工程造价咨询服务涉及的有关资料、内容、成果以及结论，</w:t>
      </w:r>
      <w:bookmarkEnd w:id="10"/>
      <w:r>
        <w:rPr>
          <w:rFonts w:hint="eastAsia" w:ascii="宋体" w:hAnsi="宋体" w:eastAsia="宋体" w:cs="宋体"/>
          <w:sz w:val="24"/>
          <w:szCs w:val="24"/>
          <w:highlight w:val="none"/>
          <w:lang w:val="zh-CN" w:eastAsia="zh-CN"/>
        </w:rPr>
        <w:t>需承担保密的义务。</w:t>
      </w:r>
    </w:p>
    <w:p w14:paraId="5CCAC58C">
      <w:pPr>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五</w:t>
      </w:r>
      <w:r>
        <w:rPr>
          <w:rFonts w:hint="eastAsia" w:ascii="宋体" w:hAnsi="宋体" w:eastAsia="宋体" w:cs="宋体"/>
          <w:sz w:val="24"/>
          <w:szCs w:val="24"/>
          <w:highlight w:val="none"/>
          <w:lang w:val="en-US" w:eastAsia="zh-CN"/>
        </w:rPr>
        <w:t>）服务条款</w:t>
      </w:r>
    </w:p>
    <w:p w14:paraId="3D2600BE">
      <w:pPr>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1、服务单位须无条件接受建设单位的工作安排，不得将项目转包和</w:t>
      </w:r>
      <w:r>
        <w:rPr>
          <w:rFonts w:hint="eastAsia" w:ascii="宋体" w:hAnsi="宋体" w:cs="宋体"/>
          <w:strike w:val="0"/>
          <w:color w:val="auto"/>
          <w:sz w:val="24"/>
          <w:szCs w:val="24"/>
          <w:highlight w:val="none"/>
          <w:u w:val="none"/>
          <w:shd w:val="clear" w:fill="auto"/>
          <w:lang w:val="en-US" w:eastAsia="zh-CN"/>
        </w:rPr>
        <w:t>违法</w:t>
      </w:r>
      <w:r>
        <w:rPr>
          <w:rFonts w:hint="eastAsia" w:ascii="宋体" w:hAnsi="宋体" w:eastAsia="宋体" w:cs="宋体"/>
          <w:sz w:val="24"/>
          <w:szCs w:val="24"/>
          <w:highlight w:val="none"/>
          <w:lang w:val="en-US" w:eastAsia="zh-CN"/>
        </w:rPr>
        <w:t>分包。</w:t>
      </w:r>
    </w:p>
    <w:p w14:paraId="572ADE5F">
      <w:pPr>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服务单位须指定项目负责人作为与建设单位的联系人，该联系人必须是服务单位的正式员工；服务单位负责项目工作的负责人与主要专业人员必须专职投入项目，若因特殊原因需更换负责人，需经采购人或建设单位书面同意。</w:t>
      </w:r>
    </w:p>
    <w:p w14:paraId="25FAE8C1">
      <w:pPr>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3、服务单位需按建设单位具体要求提交所要求数量的项目技术文件。</w:t>
      </w:r>
    </w:p>
    <w:p w14:paraId="2678EF3E">
      <w:pPr>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4、服务单位应承担由自身过错导致的任何责任。</w:t>
      </w:r>
    </w:p>
    <w:p w14:paraId="57E7BF76">
      <w:pPr>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5、服务单位应对建设单位委托各项目的内容予以严格保密。</w:t>
      </w:r>
    </w:p>
    <w:p w14:paraId="14713A3A">
      <w:pPr>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建设单位将对服务单位实行动态管理，对服务单位的服务承诺、服务态度等进行定期和不定期的考核，一旦发现服务单位违反采购文件要求及其承诺，将要求其限期整改，整改期间暂停其服务资格，整改完成后达到要求则恢复其资格，否则取消其资格。</w:t>
      </w:r>
    </w:p>
    <w:p w14:paraId="79AC8CAC">
      <w:pPr>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服务单位获得服务资格后，不保证具体承担的工程造价咨询数量。在服务期限内，根据工程造价咨询服务的具体情况，建设单位仍有权通过其他合法方式选择中标服务单位之外的其他单位提供本采购文件的服务内容。</w:t>
      </w:r>
    </w:p>
    <w:p w14:paraId="4FF94C16">
      <w:pPr>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、服务单位在服务年限内，履行本采购文件约定的义务过程中出违反国家法律法规、相关主管部门规章制度、擅自提高价格或服务质量低劣造成建设单位损失等情况的，建设单位有权视情节分别给予警告、</w:t>
      </w:r>
      <w:r>
        <w:rPr>
          <w:rFonts w:hint="eastAsia" w:ascii="宋体" w:hAnsi="宋体" w:eastAsia="宋体" w:cs="宋体"/>
          <w:strike w:val="0"/>
          <w:dstrike w:val="0"/>
          <w:color w:val="auto"/>
          <w:sz w:val="24"/>
          <w:szCs w:val="24"/>
          <w:highlight w:val="none"/>
          <w:u w:val="none"/>
          <w:shd w:val="clear" w:fill="auto"/>
          <w:lang w:val="en-US" w:eastAsia="zh-CN"/>
        </w:rPr>
        <w:t>或</w:t>
      </w:r>
      <w:r>
        <w:rPr>
          <w:rFonts w:hint="eastAsia" w:ascii="宋体" w:hAnsi="宋体" w:eastAsia="宋体" w:cs="宋体"/>
          <w:sz w:val="24"/>
          <w:szCs w:val="24"/>
          <w:highlight w:val="none"/>
          <w:lang w:val="en-US" w:eastAsia="zh-CN"/>
        </w:rPr>
        <w:t>取消服务资格等处罚。</w:t>
      </w:r>
    </w:p>
    <w:p w14:paraId="54F2C985">
      <w:pPr>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服务单位需在东莞市住房和城乡建设局建立对应的企业类型信用档案。（须提供投标截止日前一天在东莞建设网站查询获取的工程造价咨询企业信用档案截图并加盖投标人公章或提供在中标后30天内在东莞建设网站完成办理工程造价咨询企业显示为“正常登记”状态的信用档案的承诺书，详见投标格式附件。）</w:t>
      </w:r>
    </w:p>
    <w:p w14:paraId="6B087EF6">
      <w:pPr>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六</w:t>
      </w:r>
      <w:r>
        <w:rPr>
          <w:rFonts w:hint="eastAsia" w:ascii="宋体" w:hAnsi="宋体" w:eastAsia="宋体" w:cs="宋体"/>
          <w:sz w:val="24"/>
          <w:szCs w:val="24"/>
          <w:highlight w:val="none"/>
          <w:lang w:val="en-US" w:eastAsia="zh-CN"/>
        </w:rPr>
        <w:t>）其他要求</w:t>
      </w:r>
    </w:p>
    <w:p w14:paraId="21096829">
      <w:pPr>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1、服务单位在服务范围有固定的服务场所，且办公环境、硬件设施符合国家相关规定。</w:t>
      </w:r>
    </w:p>
    <w:p w14:paraId="0CD5005C">
      <w:pPr>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2、有健全的组织机构</w:t>
      </w:r>
      <w:r>
        <w:rPr>
          <w:rFonts w:hint="eastAsia" w:ascii="宋体" w:hAnsi="宋体" w:eastAsia="宋体" w:cs="宋体"/>
          <w:strike w:val="0"/>
          <w:dstrike w:val="0"/>
          <w:color w:val="auto"/>
          <w:sz w:val="24"/>
          <w:szCs w:val="24"/>
          <w:highlight w:val="none"/>
          <w:u w:val="none"/>
          <w:shd w:val="clear" w:fill="auto"/>
          <w:lang w:val="en-US" w:eastAsia="zh-CN"/>
        </w:rPr>
        <w:t>的</w:t>
      </w:r>
      <w:r>
        <w:rPr>
          <w:rFonts w:hint="eastAsia" w:ascii="宋体" w:hAnsi="宋体" w:eastAsia="宋体" w:cs="宋体"/>
          <w:sz w:val="24"/>
          <w:szCs w:val="24"/>
          <w:highlight w:val="none"/>
          <w:lang w:val="en-US" w:eastAsia="zh-CN"/>
        </w:rPr>
        <w:t>内部管理制度，有完善的质量保证体系和技术经济档案管理制度，有良好的服务态度和较好的社会信誉。</w:t>
      </w:r>
    </w:p>
    <w:p w14:paraId="12578A28">
      <w:pPr>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3、服务单位应当配合建设单位，完成其他与委托业务相关的工作。</w:t>
      </w:r>
    </w:p>
    <w:p w14:paraId="7E9A6519">
      <w:pPr>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4、服务单位应当坚持公正、科学、诚信的工作原则，遵守职业道德，讲求专业信誉，对社会责任负责，对建设单位负责，不得违反国家法律、法规、政策及有关管理要求。</w:t>
      </w:r>
    </w:p>
    <w:p w14:paraId="662F2B08">
      <w:pPr>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5、服务单位在服务过程中应积极主动与建设单位进行沟通</w:t>
      </w:r>
      <w:r>
        <w:rPr>
          <w:rFonts w:hint="eastAsia" w:ascii="宋体" w:hAnsi="宋体" w:eastAsia="宋体" w:cs="宋体"/>
          <w:strike w:val="0"/>
          <w:dstrike w:val="0"/>
          <w:color w:val="auto"/>
          <w:sz w:val="24"/>
          <w:szCs w:val="24"/>
          <w:highlight w:val="none"/>
          <w:u w:val="none"/>
          <w:shd w:val="clear" w:fill="auto"/>
          <w:lang w:val="en-US" w:eastAsia="zh-CN"/>
        </w:rPr>
        <w:t>。</w:t>
      </w:r>
      <w:r>
        <w:rPr>
          <w:rFonts w:hint="eastAsia" w:ascii="宋体" w:hAnsi="宋体" w:eastAsia="宋体" w:cs="宋体"/>
          <w:sz w:val="24"/>
          <w:szCs w:val="24"/>
          <w:highlight w:val="none"/>
          <w:lang w:val="en-US" w:eastAsia="zh-CN"/>
        </w:rPr>
        <w:t>本着诚实信用的原则，高效率</w:t>
      </w:r>
      <w:r>
        <w:rPr>
          <w:rFonts w:hint="eastAsia" w:ascii="宋体" w:hAnsi="宋体" w:eastAsia="宋体" w:cs="宋体"/>
          <w:strike w:val="0"/>
          <w:dstrike w:val="0"/>
          <w:color w:val="auto"/>
          <w:sz w:val="24"/>
          <w:szCs w:val="24"/>
          <w:highlight w:val="none"/>
          <w:u w:val="none"/>
          <w:shd w:val="clear" w:fill="auto"/>
          <w:lang w:val="en-US" w:eastAsia="zh-CN"/>
        </w:rPr>
        <w:t>的</w:t>
      </w:r>
      <w:r>
        <w:rPr>
          <w:rFonts w:hint="eastAsia" w:ascii="宋体" w:hAnsi="宋体" w:eastAsia="宋体" w:cs="宋体"/>
          <w:sz w:val="24"/>
          <w:szCs w:val="24"/>
          <w:highlight w:val="none"/>
          <w:lang w:val="en-US" w:eastAsia="zh-CN"/>
        </w:rPr>
        <w:t>提供本需求规定的各项服务。</w:t>
      </w:r>
    </w:p>
    <w:p w14:paraId="31C679AC">
      <w:pPr>
        <w:spacing w:line="4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6、本项目执行过程中将遵循国家、省、市有关法律、法规、标准、技术规范和规范性文件的最新规定。</w:t>
      </w:r>
    </w:p>
    <w:p w14:paraId="14AFD611">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eastAsia="宋体" w:cs="宋体"/>
          <w:sz w:val="24"/>
          <w:szCs w:val="24"/>
          <w:highlight w:val="none"/>
          <w:lang w:val="zh-CN"/>
        </w:rPr>
      </w:pPr>
    </w:p>
    <w:p w14:paraId="09BAFF9F">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cs="宋体"/>
          <w:color w:val="000000"/>
          <w:sz w:val="24"/>
          <w:szCs w:val="24"/>
          <w:highlight w:val="none"/>
          <w:lang w:eastAsia="zh-CN"/>
        </w:rPr>
      </w:pPr>
      <w:r>
        <w:rPr>
          <w:rFonts w:hint="eastAsia" w:ascii="宋体" w:hAnsi="宋体" w:eastAsia="宋体" w:cs="宋体"/>
          <w:b/>
          <w:bCs/>
          <w:color w:val="000000"/>
          <w:sz w:val="24"/>
          <w:szCs w:val="24"/>
          <w:highlight w:val="none"/>
          <w:lang w:val="en-US" w:eastAsia="zh-CN"/>
        </w:rPr>
        <w:t>服务</w:t>
      </w:r>
      <w:r>
        <w:rPr>
          <w:rFonts w:hint="eastAsia" w:ascii="宋体" w:hAnsi="宋体" w:eastAsia="宋体" w:cs="宋体"/>
          <w:b/>
          <w:bCs/>
          <w:color w:val="000000"/>
          <w:sz w:val="24"/>
          <w:szCs w:val="24"/>
          <w:highlight w:val="none"/>
        </w:rPr>
        <w:t>时间</w:t>
      </w:r>
      <w:r>
        <w:rPr>
          <w:rFonts w:hint="eastAsia" w:ascii="宋体" w:hAnsi="宋体" w:eastAsia="宋体" w:cs="宋体"/>
          <w:b/>
          <w:bCs/>
          <w:color w:val="000000"/>
          <w:sz w:val="24"/>
          <w:szCs w:val="24"/>
          <w:highlight w:val="none"/>
          <w:lang w:eastAsia="zh-CN"/>
        </w:rPr>
        <w:t>：</w:t>
      </w:r>
      <w:r>
        <w:rPr>
          <w:rFonts w:hint="eastAsia" w:ascii="宋体" w:hAnsi="宋体" w:eastAsia="宋体" w:cs="宋体"/>
          <w:sz w:val="24"/>
          <w:szCs w:val="24"/>
          <w:highlight w:val="none"/>
          <w:u w:val="single"/>
          <w:lang w:val="en-US" w:eastAsia="zh-CN"/>
        </w:rPr>
        <w:t>自合同签订之日起两年</w:t>
      </w:r>
      <w:r>
        <w:rPr>
          <w:rFonts w:hint="eastAsia" w:ascii="宋体" w:hAnsi="宋体" w:cs="宋体"/>
          <w:color w:val="000000"/>
          <w:sz w:val="24"/>
          <w:szCs w:val="24"/>
          <w:highlight w:val="none"/>
          <w:lang w:eastAsia="zh-CN"/>
        </w:rPr>
        <w:t>。</w:t>
      </w:r>
    </w:p>
    <w:p w14:paraId="07319C62">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支付方式</w:t>
      </w:r>
    </w:p>
    <w:p w14:paraId="0C8A02E7">
      <w:pPr>
        <w:ind w:firstLine="480" w:firstLineChars="200"/>
        <w:rPr>
          <w:rFonts w:hint="eastAsia" w:eastAsia="宋体"/>
          <w:highlight w:val="none"/>
          <w:lang w:eastAsia="zh-CN"/>
        </w:rPr>
      </w:pPr>
      <w:r>
        <w:rPr>
          <w:rFonts w:hint="eastAsia" w:ascii="宋体" w:hAnsi="宋体" w:cs="宋体"/>
          <w:sz w:val="24"/>
          <w:szCs w:val="24"/>
          <w:highlight w:val="none"/>
          <w:lang w:val="en-US" w:eastAsia="zh-CN"/>
        </w:rPr>
        <w:t>每</w:t>
      </w:r>
      <w:r>
        <w:rPr>
          <w:rFonts w:hint="eastAsia" w:ascii="宋体" w:hAnsi="宋体" w:eastAsia="宋体" w:cs="宋体"/>
          <w:sz w:val="24"/>
          <w:szCs w:val="24"/>
          <w:highlight w:val="none"/>
          <w:lang w:val="en-US" w:eastAsia="zh-CN"/>
        </w:rPr>
        <w:t>项造价咨询费的计费基数，最终以采购人复核确认的</w:t>
      </w:r>
      <w:r>
        <w:rPr>
          <w:rFonts w:hint="eastAsia" w:ascii="宋体" w:hAnsi="宋体" w:cs="宋体"/>
          <w:sz w:val="24"/>
          <w:szCs w:val="24"/>
          <w:highlight w:val="none"/>
          <w:lang w:val="en-US" w:eastAsia="zh-CN"/>
        </w:rPr>
        <w:t>预（结）算金额</w:t>
      </w:r>
      <w:r>
        <w:rPr>
          <w:rFonts w:hint="eastAsia" w:ascii="宋体" w:hAnsi="宋体" w:eastAsia="宋体" w:cs="宋体"/>
          <w:sz w:val="24"/>
          <w:szCs w:val="24"/>
          <w:highlight w:val="none"/>
          <w:lang w:val="en-US" w:eastAsia="zh-CN"/>
        </w:rPr>
        <w:t>为准。</w:t>
      </w:r>
    </w:p>
    <w:p w14:paraId="12501D6D">
      <w:pPr>
        <w:ind w:firstLine="480" w:firstLineChars="200"/>
        <w:rPr>
          <w:rFonts w:hint="eastAsia" w:eastAsia="宋体"/>
          <w:highlight w:val="none"/>
          <w:lang w:eastAsia="zh-CN"/>
        </w:rPr>
      </w:pPr>
      <w:r>
        <w:rPr>
          <w:rFonts w:hint="eastAsia" w:ascii="宋体" w:hAnsi="宋体" w:eastAsia="宋体" w:cs="宋体"/>
          <w:sz w:val="24"/>
          <w:szCs w:val="24"/>
          <w:highlight w:val="none"/>
          <w:lang w:val="en-US" w:eastAsia="zh-CN"/>
        </w:rPr>
        <w:t>1、中标人按合同约定提交初步成果文件，经采购人确认后30个日历天内，采购人向中标人支付咨询服务费总价的50%；</w:t>
      </w:r>
    </w:p>
    <w:p w14:paraId="2282A98D">
      <w:pPr>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2、中标人按合同约定提交最终成果文件，经采购人确认后30个日历天内，采购人向中标人支付咨询服务费至总价的90%；</w:t>
      </w:r>
    </w:p>
    <w:p w14:paraId="1261D51E">
      <w:pPr>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3、本合同完成结算后30个日历天内，采购人向中标人支付咨询服务费至总价的100%。</w:t>
      </w:r>
    </w:p>
    <w:p w14:paraId="6A33FFED">
      <w:pPr>
        <w:adjustRightInd w:val="0"/>
        <w:snapToGrid w:val="0"/>
        <w:spacing w:line="600" w:lineRule="exact"/>
        <w:ind w:firstLine="482" w:firstLineChars="200"/>
        <w:outlineLvl w:val="1"/>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七</w:t>
      </w:r>
      <w:r>
        <w:rPr>
          <w:rFonts w:hint="eastAsia" w:ascii="宋体" w:hAnsi="宋体" w:eastAsia="宋体" w:cs="宋体"/>
          <w:b/>
          <w:bCs/>
          <w:color w:val="000000"/>
          <w:sz w:val="24"/>
          <w:szCs w:val="24"/>
          <w:highlight w:val="none"/>
        </w:rPr>
        <w:t>、定标</w:t>
      </w:r>
    </w:p>
    <w:p w14:paraId="51D93E2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u w:val="single"/>
          <w:lang w:val="en-US" w:eastAsia="zh-CN" w:bidi="ar-SA"/>
        </w:rPr>
        <w:t>本次项目采用询价方式进行采购，询价小组对各供应商响应文件进行审核，并根据质量和服务均能满足采购文件实质性响应要求且报价最低的原则，推荐成交候选供应商。</w:t>
      </w:r>
    </w:p>
    <w:p w14:paraId="47A572A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u w:val="single"/>
          <w:lang w:val="en-US" w:eastAsia="zh-CN" w:bidi="ar-SA"/>
        </w:rPr>
        <w:t>询价结束后，招标采购工作小组将相关询价情况按程序审批并确定成交人。</w:t>
      </w:r>
    </w:p>
    <w:p w14:paraId="10FE61FE">
      <w:pPr>
        <w:adjustRightInd w:val="0"/>
        <w:snapToGrid w:val="0"/>
        <w:spacing w:line="600" w:lineRule="exact"/>
        <w:ind w:firstLine="482" w:firstLineChars="200"/>
        <w:outlineLvl w:val="1"/>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八</w:t>
      </w:r>
      <w:r>
        <w:rPr>
          <w:rFonts w:hint="eastAsia" w:ascii="宋体" w:hAnsi="宋体" w:eastAsia="宋体" w:cs="宋体"/>
          <w:b/>
          <w:bCs/>
          <w:color w:val="000000"/>
          <w:sz w:val="24"/>
          <w:szCs w:val="24"/>
          <w:highlight w:val="none"/>
        </w:rPr>
        <w:t>、采</w:t>
      </w:r>
      <w:r>
        <w:rPr>
          <w:rFonts w:hint="eastAsia" w:ascii="宋体" w:hAnsi="宋体" w:eastAsia="宋体" w:cs="宋体"/>
          <w:b/>
          <w:bCs/>
          <w:strike w:val="0"/>
          <w:dstrike w:val="0"/>
          <w:color w:val="auto"/>
          <w:sz w:val="24"/>
          <w:szCs w:val="24"/>
          <w:highlight w:val="none"/>
          <w:u w:val="none"/>
          <w:shd w:val="clear" w:fill="auto"/>
        </w:rPr>
        <w:t>取</w:t>
      </w:r>
      <w:r>
        <w:rPr>
          <w:rFonts w:hint="eastAsia" w:ascii="宋体" w:hAnsi="宋体" w:eastAsia="宋体" w:cs="宋体"/>
          <w:b/>
          <w:bCs/>
          <w:color w:val="000000"/>
          <w:sz w:val="24"/>
          <w:szCs w:val="24"/>
          <w:highlight w:val="none"/>
        </w:rPr>
        <w:t>的合同文本</w:t>
      </w:r>
    </w:p>
    <w:p w14:paraId="5B531CD9">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合同签订的依据为</w:t>
      </w: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文件、报价文件及补充说明等。确定成交单位后，成交单位在</w:t>
      </w:r>
      <w:r>
        <w:rPr>
          <w:rFonts w:hint="eastAsia" w:ascii="宋体" w:hAnsi="宋体" w:eastAsia="宋体" w:cs="宋体"/>
          <w:color w:val="000000"/>
          <w:sz w:val="24"/>
          <w:szCs w:val="24"/>
          <w:highlight w:val="none"/>
          <w:u w:val="single"/>
          <w:lang w:val="en-US" w:eastAsia="zh-CN"/>
        </w:rPr>
        <w:t>30</w:t>
      </w:r>
      <w:r>
        <w:rPr>
          <w:rFonts w:hint="eastAsia" w:ascii="宋体" w:hAnsi="宋体" w:eastAsia="宋体" w:cs="宋体"/>
          <w:color w:val="000000"/>
          <w:sz w:val="24"/>
          <w:szCs w:val="24"/>
          <w:highlight w:val="none"/>
        </w:rPr>
        <w:t>天内与采购人签订合同。</w:t>
      </w:r>
    </w:p>
    <w:p w14:paraId="7AE42402">
      <w:pPr>
        <w:adjustRightInd w:val="0"/>
        <w:snapToGrid w:val="0"/>
        <w:spacing w:line="600" w:lineRule="exact"/>
        <w:ind w:firstLine="482" w:firstLineChars="200"/>
        <w:outlineLvl w:val="1"/>
        <w:rPr>
          <w:rFonts w:hint="eastAsia" w:ascii="宋体" w:hAnsi="宋体" w:eastAsia="宋体" w:cs="宋体"/>
          <w:b/>
          <w:bCs/>
          <w:color w:val="000000"/>
          <w:sz w:val="24"/>
          <w:szCs w:val="24"/>
          <w:highlight w:val="none"/>
        </w:rPr>
      </w:pPr>
      <w:r>
        <w:rPr>
          <w:rFonts w:hint="eastAsia" w:ascii="宋体" w:hAnsi="宋体" w:eastAsia="宋体" w:cs="宋体"/>
          <w:b/>
          <w:bCs/>
          <w:strike w:val="0"/>
          <w:dstrike w:val="0"/>
          <w:color w:val="auto"/>
          <w:sz w:val="24"/>
          <w:szCs w:val="24"/>
          <w:highlight w:val="none"/>
          <w:u w:val="none"/>
          <w:shd w:val="clear" w:fill="auto"/>
        </w:rPr>
        <w:sym w:font="Wingdings" w:char="F0AB"/>
      </w:r>
      <w:r>
        <w:rPr>
          <w:rFonts w:hint="eastAsia" w:ascii="宋体" w:hAnsi="宋体" w:eastAsia="宋体" w:cs="宋体"/>
          <w:b/>
          <w:bCs/>
          <w:color w:val="000000"/>
          <w:sz w:val="24"/>
          <w:szCs w:val="24"/>
          <w:highlight w:val="none"/>
          <w:lang w:val="en-US" w:eastAsia="zh-CN"/>
        </w:rPr>
        <w:t>九</w:t>
      </w:r>
      <w:r>
        <w:rPr>
          <w:rFonts w:hint="eastAsia" w:ascii="宋体" w:hAnsi="宋体" w:eastAsia="宋体" w:cs="宋体"/>
          <w:b/>
          <w:bCs/>
          <w:color w:val="000000"/>
          <w:sz w:val="24"/>
          <w:szCs w:val="24"/>
          <w:highlight w:val="none"/>
        </w:rPr>
        <w:t>、响应文件的组成部分（响应文件本项资料如有不全，则作无效报价处理）</w:t>
      </w:r>
    </w:p>
    <w:p w14:paraId="0C2DD752">
      <w:pPr>
        <w:numPr>
          <w:ilvl w:val="0"/>
          <w:numId w:val="6"/>
        </w:num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报价函（模板）；</w:t>
      </w:r>
    </w:p>
    <w:p w14:paraId="7FE5B873">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2、法人证明（模板）以及法人身份证复印件；</w:t>
      </w:r>
    </w:p>
    <w:p w14:paraId="37DB5A81">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3、法人授权书（模板）及被委托人身份证复印件；</w:t>
      </w:r>
    </w:p>
    <w:p w14:paraId="53C952E2">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4、承诺函（模板）；</w:t>
      </w:r>
    </w:p>
    <w:p w14:paraId="66B2693A">
      <w:pPr>
        <w:spacing w:line="600" w:lineRule="exact"/>
        <w:ind w:firstLine="480" w:firstLineChars="20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5、响应人认为需要提供的其他资料。</w:t>
      </w:r>
    </w:p>
    <w:p w14:paraId="6184AFD0">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响应人须严格按照采购人提供的表单格式报价，响应文件必须装订完整，于骑缝处加盖投标单位企业公章。装有响应文件的文件袋须贴有密封条，于骑缝处加盖企业公章。</w:t>
      </w:r>
    </w:p>
    <w:p w14:paraId="034FC6A4">
      <w:pPr>
        <w:adjustRightInd w:val="0"/>
        <w:snapToGrid w:val="0"/>
        <w:spacing w:line="600" w:lineRule="exact"/>
        <w:ind w:firstLine="482" w:firstLineChars="200"/>
        <w:outlineLvl w:val="1"/>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十、响应文件份数</w:t>
      </w:r>
    </w:p>
    <w:p w14:paraId="431519E6">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正本一份</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副本一份</w:t>
      </w:r>
      <w:r>
        <w:rPr>
          <w:rFonts w:hint="eastAsia" w:ascii="宋体" w:hAnsi="宋体" w:eastAsia="宋体" w:cs="宋体"/>
          <w:color w:val="000000"/>
          <w:sz w:val="24"/>
          <w:szCs w:val="24"/>
          <w:highlight w:val="none"/>
        </w:rPr>
        <w:t>，并提供响应文件扫描件</w:t>
      </w:r>
      <w:r>
        <w:rPr>
          <w:rFonts w:hint="eastAsia" w:ascii="宋体" w:hAnsi="宋体" w:eastAsia="宋体" w:cs="宋体"/>
          <w:color w:val="000000"/>
          <w:sz w:val="24"/>
          <w:szCs w:val="24"/>
          <w:highlight w:val="none"/>
          <w:lang w:val="en-US" w:eastAsia="zh-CN"/>
        </w:rPr>
        <w:t>及</w:t>
      </w:r>
      <w:r>
        <w:rPr>
          <w:rFonts w:hint="eastAsia" w:ascii="宋体" w:hAnsi="宋体" w:eastAsia="宋体" w:cs="宋体"/>
          <w:color w:val="000000"/>
          <w:sz w:val="24"/>
          <w:szCs w:val="24"/>
          <w:highlight w:val="none"/>
        </w:rPr>
        <w:t>电子版（U盘）。</w:t>
      </w:r>
    </w:p>
    <w:p w14:paraId="0BC80937">
      <w:pPr>
        <w:adjustRightInd w:val="0"/>
        <w:snapToGrid w:val="0"/>
        <w:spacing w:line="600" w:lineRule="exact"/>
        <w:ind w:firstLine="482" w:firstLineChars="200"/>
        <w:outlineLvl w:val="1"/>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十一、开标时间及地</w:t>
      </w:r>
      <w:r>
        <w:rPr>
          <w:rFonts w:hint="eastAsia" w:ascii="宋体" w:hAnsi="宋体" w:eastAsia="宋体" w:cs="宋体"/>
          <w:b/>
          <w:bCs/>
          <w:strike w:val="0"/>
          <w:dstrike w:val="0"/>
          <w:color w:val="auto"/>
          <w:sz w:val="24"/>
          <w:szCs w:val="24"/>
          <w:highlight w:val="none"/>
          <w:u w:val="none"/>
          <w:shd w:val="clear" w:fill="auto"/>
        </w:rPr>
        <w:t>址</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现场提交文件</w:t>
      </w:r>
      <w:r>
        <w:rPr>
          <w:rFonts w:hint="eastAsia" w:ascii="宋体" w:hAnsi="宋体" w:eastAsia="宋体" w:cs="宋体"/>
          <w:b/>
          <w:bCs/>
          <w:color w:val="000000"/>
          <w:sz w:val="24"/>
          <w:szCs w:val="24"/>
          <w:highlight w:val="none"/>
          <w:lang w:eastAsia="zh-CN"/>
        </w:rPr>
        <w:t>）</w:t>
      </w:r>
    </w:p>
    <w:p w14:paraId="7869559B">
      <w:pPr>
        <w:spacing w:line="6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1、开标时间：</w:t>
      </w:r>
      <w:r>
        <w:rPr>
          <w:rFonts w:hint="eastAsia" w:ascii="宋体" w:hAnsi="宋体" w:eastAsia="宋体" w:cs="宋体"/>
          <w:b/>
          <w:color w:val="auto"/>
          <w:sz w:val="24"/>
          <w:szCs w:val="24"/>
          <w:highlight w:val="none"/>
          <w:u w:val="single"/>
          <w:lang w:val="en-US" w:eastAsia="zh-CN"/>
        </w:rPr>
        <w:t xml:space="preserve"> 2026年 </w:t>
      </w:r>
      <w:r>
        <w:rPr>
          <w:rFonts w:hint="eastAsia" w:ascii="宋体" w:hAnsi="宋体" w:cs="宋体"/>
          <w:b/>
          <w:color w:val="auto"/>
          <w:sz w:val="24"/>
          <w:szCs w:val="24"/>
          <w:highlight w:val="none"/>
          <w:u w:val="single"/>
          <w:lang w:val="en-US" w:eastAsia="zh-CN"/>
        </w:rPr>
        <w:t>5</w:t>
      </w:r>
      <w:r>
        <w:rPr>
          <w:rFonts w:hint="eastAsia" w:ascii="宋体" w:hAnsi="宋体" w:eastAsia="宋体" w:cs="宋体"/>
          <w:b/>
          <w:color w:val="auto"/>
          <w:sz w:val="24"/>
          <w:szCs w:val="24"/>
          <w:highlight w:val="none"/>
          <w:u w:val="single"/>
          <w:lang w:val="en-US" w:eastAsia="zh-CN"/>
        </w:rPr>
        <w:t xml:space="preserve"> 月 </w:t>
      </w:r>
      <w:r>
        <w:rPr>
          <w:rFonts w:hint="eastAsia" w:ascii="宋体" w:hAnsi="宋体" w:cs="宋体"/>
          <w:b/>
          <w:color w:val="auto"/>
          <w:sz w:val="24"/>
          <w:szCs w:val="24"/>
          <w:highlight w:val="none"/>
          <w:u w:val="single"/>
          <w:lang w:val="en-US" w:eastAsia="zh-CN"/>
        </w:rPr>
        <w:t xml:space="preserve">21 </w:t>
      </w:r>
      <w:r>
        <w:rPr>
          <w:rFonts w:hint="eastAsia" w:ascii="宋体" w:hAnsi="宋体" w:eastAsia="宋体" w:cs="宋体"/>
          <w:b/>
          <w:color w:val="auto"/>
          <w:sz w:val="24"/>
          <w:szCs w:val="24"/>
          <w:highlight w:val="none"/>
          <w:u w:val="single"/>
          <w:lang w:val="en-US" w:eastAsia="zh-CN"/>
        </w:rPr>
        <w:t xml:space="preserve">日上午10:00 </w:t>
      </w:r>
      <w:r>
        <w:rPr>
          <w:rFonts w:hint="eastAsia" w:ascii="宋体" w:hAnsi="宋体" w:eastAsia="宋体" w:cs="宋体"/>
          <w:b/>
          <w:color w:val="auto"/>
          <w:sz w:val="24"/>
          <w:szCs w:val="24"/>
          <w:highlight w:val="none"/>
        </w:rPr>
        <w:t>。</w:t>
      </w:r>
    </w:p>
    <w:p w14:paraId="342A6787">
      <w:pPr>
        <w:spacing w:line="6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2、开标地址：</w:t>
      </w:r>
      <w:r>
        <w:rPr>
          <w:rFonts w:hint="eastAsia" w:ascii="宋体" w:hAnsi="宋体" w:eastAsia="宋体" w:cs="宋体"/>
          <w:b/>
          <w:color w:val="auto"/>
          <w:sz w:val="24"/>
          <w:szCs w:val="24"/>
          <w:highlight w:val="none"/>
          <w:u w:val="single"/>
        </w:rPr>
        <w:t>东莞市松山湖大学创新城G4栋20层会议室</w:t>
      </w:r>
    </w:p>
    <w:p w14:paraId="59B4C7D2">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翟工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EA80482">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38888010</w:t>
      </w:r>
      <w:r>
        <w:rPr>
          <w:rFonts w:hint="eastAsia" w:ascii="宋体" w:hAnsi="宋体" w:eastAsia="宋体" w:cs="宋体"/>
          <w:color w:val="auto"/>
          <w:sz w:val="24"/>
          <w:szCs w:val="24"/>
          <w:highlight w:val="none"/>
          <w:u w:val="single"/>
        </w:rPr>
        <w:t xml:space="preserve"> </w:t>
      </w:r>
    </w:p>
    <w:p w14:paraId="568AF900">
      <w:pPr>
        <w:adjustRightInd w:val="0"/>
        <w:snapToGrid w:val="0"/>
        <w:spacing w:line="600" w:lineRule="exact"/>
        <w:ind w:firstLine="482" w:firstLineChars="200"/>
        <w:outlineLvl w:val="1"/>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十</w:t>
      </w:r>
      <w:r>
        <w:rPr>
          <w:rFonts w:hint="eastAsia" w:ascii="宋体" w:hAnsi="宋体" w:eastAsia="宋体" w:cs="宋体"/>
          <w:b/>
          <w:bCs/>
          <w:color w:val="000000"/>
          <w:sz w:val="24"/>
          <w:szCs w:val="24"/>
          <w:highlight w:val="none"/>
          <w:lang w:val="en-US" w:eastAsia="zh-CN"/>
        </w:rPr>
        <w:t>二</w:t>
      </w:r>
      <w:r>
        <w:rPr>
          <w:rFonts w:hint="eastAsia" w:ascii="宋体" w:hAnsi="宋体" w:eastAsia="宋体" w:cs="宋体"/>
          <w:b/>
          <w:bCs/>
          <w:color w:val="000000"/>
          <w:sz w:val="24"/>
          <w:szCs w:val="24"/>
          <w:highlight w:val="none"/>
        </w:rPr>
        <w:t>、注意事项</w:t>
      </w:r>
    </w:p>
    <w:p w14:paraId="3EA2E6BF">
      <w:pPr>
        <w:spacing w:line="600" w:lineRule="exact"/>
        <w:ind w:firstLine="480" w:firstLineChars="200"/>
        <w:rPr>
          <w:rFonts w:hint="eastAsia" w:ascii="宋体" w:hAnsi="宋体" w:eastAsia="宋体" w:cs="宋体"/>
          <w:color w:val="000000"/>
          <w:sz w:val="24"/>
          <w:szCs w:val="24"/>
          <w:highlight w:val="none"/>
        </w:rPr>
      </w:pPr>
      <w:bookmarkStart w:id="11" w:name="_Hlk517879660"/>
      <w:r>
        <w:rPr>
          <w:rFonts w:hint="eastAsia" w:ascii="宋体" w:hAnsi="宋体" w:eastAsia="宋体" w:cs="宋体"/>
          <w:color w:val="000000"/>
          <w:sz w:val="24"/>
          <w:szCs w:val="24"/>
          <w:highlight w:val="none"/>
        </w:rPr>
        <w:t>1、若响应人未按规定时间</w:t>
      </w:r>
      <w:r>
        <w:rPr>
          <w:rFonts w:hint="eastAsia" w:ascii="宋体" w:hAnsi="宋体" w:eastAsia="宋体" w:cs="宋体"/>
          <w:b w:val="0"/>
          <w:bCs w:val="0"/>
          <w:color w:val="000000"/>
          <w:sz w:val="24"/>
          <w:szCs w:val="24"/>
          <w:highlight w:val="none"/>
          <w:u w:val="none"/>
        </w:rPr>
        <w:t>将文件送达现场</w:t>
      </w:r>
      <w:r>
        <w:rPr>
          <w:rFonts w:hint="eastAsia" w:ascii="宋体" w:hAnsi="宋体" w:eastAsia="宋体" w:cs="宋体"/>
          <w:color w:val="000000"/>
          <w:sz w:val="24"/>
          <w:szCs w:val="24"/>
          <w:highlight w:val="none"/>
        </w:rPr>
        <w:t>，视为放弃投标资格。</w:t>
      </w:r>
    </w:p>
    <w:p w14:paraId="316054CE">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2、采购人向响应人提供的有关资料和数据，是采购人现有的能使响应人利用的资料，采购人对响应人由此而做出的推论、理解和结论概不负责。</w:t>
      </w:r>
    </w:p>
    <w:p w14:paraId="6652E2DE">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3、本项目执行过程中将遵循国家、省、市有关法律、法规、标准、技术规范和规范性文件的最新规定。</w:t>
      </w:r>
      <w:bookmarkEnd w:id="11"/>
    </w:p>
    <w:p w14:paraId="61626E71">
      <w:pPr>
        <w:widowControl/>
        <w:spacing w:line="6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4、成交单位对采购文件中技术条款作出的负偏离，采购人如不接受，可要求成交单位以采购文件的要求为准，如成交单位拒绝的，采购人有权取消其成交资格或</w:t>
      </w:r>
      <w:r>
        <w:rPr>
          <w:rFonts w:hint="eastAsia" w:ascii="宋体" w:hAnsi="宋体" w:eastAsia="宋体" w:cs="宋体"/>
          <w:strike w:val="0"/>
          <w:dstrike w:val="0"/>
          <w:color w:val="auto"/>
          <w:sz w:val="24"/>
          <w:szCs w:val="24"/>
          <w:highlight w:val="none"/>
          <w:u w:val="none"/>
          <w:shd w:val="clear" w:fill="auto"/>
        </w:rPr>
        <w:t>取消</w:t>
      </w:r>
      <w:r>
        <w:rPr>
          <w:rFonts w:hint="eastAsia" w:ascii="宋体" w:hAnsi="宋体" w:eastAsia="宋体" w:cs="宋体"/>
          <w:color w:val="000000"/>
          <w:sz w:val="24"/>
          <w:szCs w:val="24"/>
          <w:highlight w:val="none"/>
        </w:rPr>
        <w:t>合同。采购人不作任何补偿。</w:t>
      </w:r>
    </w:p>
    <w:p w14:paraId="108E41EF">
      <w:pPr>
        <w:spacing w:line="600" w:lineRule="exact"/>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东莞市大学创新城建设发展有限公司</w:t>
      </w:r>
    </w:p>
    <w:p w14:paraId="5AC88D20">
      <w:pPr>
        <w:spacing w:line="600" w:lineRule="exact"/>
        <w:ind w:firstLine="480" w:firstLineChars="200"/>
        <w:jc w:val="right"/>
        <w:rPr>
          <w:rFonts w:hint="eastAsia" w:ascii="宋体" w:hAnsi="宋体" w:eastAsia="宋体" w:cs="宋体"/>
          <w:color w:val="000000"/>
          <w:sz w:val="24"/>
          <w:szCs w:val="24"/>
          <w:highlight w:val="none"/>
        </w:rPr>
        <w:sectPr>
          <w:headerReference r:id="rId3"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4EE7AC6D">
      <w:pPr>
        <w:pStyle w:val="47"/>
        <w:ind w:firstLine="0" w:firstLineChars="0"/>
        <w:jc w:val="left"/>
        <w:outlineLvl w:val="1"/>
        <w:rPr>
          <w:rFonts w:hint="eastAsia" w:ascii="宋体" w:hAnsi="宋体" w:eastAsia="宋体" w:cs="宋体"/>
          <w:color w:val="000000"/>
          <w:sz w:val="24"/>
          <w:szCs w:val="24"/>
          <w:highlight w:val="none"/>
          <w:lang w:eastAsia="zh-CN"/>
        </w:rPr>
      </w:pPr>
      <w:bookmarkStart w:id="12" w:name="_Hlk524442005"/>
      <w:r>
        <w:rPr>
          <w:rFonts w:hint="eastAsia" w:ascii="宋体" w:hAnsi="宋体" w:eastAsia="宋体" w:cs="宋体"/>
          <w:color w:val="000000"/>
          <w:sz w:val="24"/>
          <w:szCs w:val="24"/>
          <w:highlight w:val="none"/>
        </w:rPr>
        <w:t>附件</w:t>
      </w:r>
      <w:r>
        <w:rPr>
          <w:rFonts w:hint="eastAsia" w:ascii="宋体" w:hAnsi="宋体" w:eastAsia="宋体" w:cs="宋体"/>
          <w:color w:val="000000"/>
          <w:sz w:val="24"/>
          <w:szCs w:val="24"/>
          <w:highlight w:val="none"/>
          <w:lang w:val="en-US" w:eastAsia="zh-CN"/>
        </w:rPr>
        <w:t>一</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rPr>
        <w:t>报价函</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模板</w:t>
      </w:r>
      <w:r>
        <w:rPr>
          <w:rFonts w:hint="eastAsia" w:ascii="宋体" w:hAnsi="宋体" w:eastAsia="宋体" w:cs="宋体"/>
          <w:color w:val="000000"/>
          <w:sz w:val="24"/>
          <w:szCs w:val="24"/>
          <w:highlight w:val="none"/>
          <w:lang w:eastAsia="zh-CN"/>
        </w:rPr>
        <w:t>）</w:t>
      </w:r>
    </w:p>
    <w:p w14:paraId="3675F420">
      <w:pPr>
        <w:spacing w:line="240" w:lineRule="auto"/>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报 价 函</w:t>
      </w:r>
    </w:p>
    <w:p w14:paraId="034F7CBD">
      <w:pPr>
        <w:jc w:val="right"/>
        <w:rPr>
          <w:rFonts w:hint="eastAsia" w:ascii="宋体" w:hAnsi="宋体" w:eastAsia="宋体" w:cs="宋体"/>
          <w:b/>
          <w:bCs/>
          <w:sz w:val="28"/>
          <w:szCs w:val="28"/>
          <w:highlight w:val="none"/>
          <w:lang w:val="en-US" w:eastAsia="zh-CN"/>
        </w:rPr>
      </w:pPr>
      <w:r>
        <w:rPr>
          <w:rFonts w:hint="eastAsia" w:ascii="宋体" w:hAnsi="宋体" w:eastAsia="宋体" w:cs="宋体"/>
          <w:b w:val="0"/>
          <w:bCs w:val="0"/>
          <w:sz w:val="28"/>
          <w:szCs w:val="28"/>
          <w:highlight w:val="none"/>
          <w:lang w:val="en-US" w:eastAsia="zh-CN"/>
        </w:rPr>
        <w:t>年  月  日</w:t>
      </w:r>
    </w:p>
    <w:tbl>
      <w:tblPr>
        <w:tblStyle w:val="30"/>
        <w:tblW w:w="5099" w:type="pct"/>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1880"/>
        <w:gridCol w:w="2403"/>
        <w:gridCol w:w="3651"/>
      </w:tblGrid>
      <w:tr w14:paraId="79CD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000" w:type="pct"/>
            <w:gridSpan w:val="4"/>
            <w:vAlign w:val="center"/>
          </w:tcPr>
          <w:p w14:paraId="71F44D51">
            <w:pPr>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采购单位：东莞市大学创新城建设发展有限公司</w:t>
            </w:r>
          </w:p>
        </w:tc>
      </w:tr>
      <w:tr w14:paraId="1DF4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36" w:type="pct"/>
            <w:vAlign w:val="center"/>
          </w:tcPr>
          <w:p w14:paraId="56F38386">
            <w:pPr>
              <w:jc w:val="center"/>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联系人：翟工</w:t>
            </w:r>
          </w:p>
        </w:tc>
        <w:tc>
          <w:tcPr>
            <w:tcW w:w="4063" w:type="pct"/>
            <w:gridSpan w:val="3"/>
            <w:vAlign w:val="center"/>
          </w:tcPr>
          <w:p w14:paraId="25D7E4E3">
            <w:pPr>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联系电话：38888010</w:t>
            </w:r>
          </w:p>
        </w:tc>
      </w:tr>
      <w:tr w14:paraId="23AF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36" w:type="pct"/>
            <w:vAlign w:val="center"/>
          </w:tcPr>
          <w:p w14:paraId="10543E37">
            <w:pPr>
              <w:jc w:val="center"/>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项目名称</w:t>
            </w:r>
          </w:p>
        </w:tc>
        <w:tc>
          <w:tcPr>
            <w:tcW w:w="4063" w:type="pct"/>
            <w:gridSpan w:val="3"/>
            <w:vAlign w:val="center"/>
          </w:tcPr>
          <w:p w14:paraId="7EE95993">
            <w:pPr>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松山湖国际创新创业社区2026-2027年度造价咨询服务项目</w:t>
            </w:r>
          </w:p>
        </w:tc>
      </w:tr>
      <w:tr w14:paraId="3F53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36" w:type="pct"/>
            <w:vAlign w:val="center"/>
          </w:tcPr>
          <w:p w14:paraId="5C2302EE">
            <w:pPr>
              <w:jc w:val="center"/>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服务内容</w:t>
            </w:r>
          </w:p>
        </w:tc>
        <w:tc>
          <w:tcPr>
            <w:tcW w:w="4063" w:type="pct"/>
            <w:gridSpan w:val="3"/>
            <w:vAlign w:val="center"/>
          </w:tcPr>
          <w:p w14:paraId="345E0C87">
            <w:pPr>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按合同约定执行</w:t>
            </w:r>
          </w:p>
        </w:tc>
      </w:tr>
      <w:tr w14:paraId="7B79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36" w:type="pct"/>
            <w:vAlign w:val="center"/>
          </w:tcPr>
          <w:p w14:paraId="5349FFB4">
            <w:pPr>
              <w:jc w:val="center"/>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报价须知</w:t>
            </w:r>
          </w:p>
        </w:tc>
        <w:tc>
          <w:tcPr>
            <w:tcW w:w="4063" w:type="pct"/>
            <w:gridSpan w:val="3"/>
            <w:vAlign w:val="center"/>
          </w:tcPr>
          <w:p w14:paraId="6333566D">
            <w:pPr>
              <w:rPr>
                <w:rFonts w:hint="eastAsia" w:eastAsia="宋体"/>
                <w:strike w:val="0"/>
                <w:dstrike w:val="0"/>
                <w:color w:val="auto"/>
                <w:highlight w:val="none"/>
                <w:u w:val="none"/>
                <w:shd w:val="clear" w:fill="auto"/>
                <w:lang w:eastAsia="zh-CN"/>
              </w:rPr>
            </w:pPr>
            <w:r>
              <w:rPr>
                <w:rFonts w:hint="eastAsia" w:ascii="宋体" w:hAnsi="宋体" w:eastAsia="宋体" w:cs="宋体"/>
                <w:color w:val="000000"/>
                <w:sz w:val="24"/>
                <w:szCs w:val="24"/>
                <w:highlight w:val="none"/>
                <w:u w:val="none"/>
                <w:lang w:val="en-US" w:eastAsia="zh-CN"/>
              </w:rPr>
              <w:t>（一）本项目</w:t>
            </w:r>
            <w:r>
              <w:rPr>
                <w:rFonts w:hint="eastAsia" w:ascii="宋体" w:hAnsi="宋体" w:cs="宋体"/>
                <w:color w:val="000000"/>
                <w:sz w:val="24"/>
                <w:szCs w:val="24"/>
                <w:highlight w:val="none"/>
                <w:u w:val="none"/>
                <w:lang w:val="en-US" w:eastAsia="zh-CN"/>
              </w:rPr>
              <w:t>造价咨询</w:t>
            </w:r>
            <w:r>
              <w:rPr>
                <w:rFonts w:hint="eastAsia" w:ascii="宋体" w:hAnsi="宋体" w:eastAsia="宋体" w:cs="宋体"/>
                <w:color w:val="000000"/>
                <w:sz w:val="24"/>
                <w:szCs w:val="24"/>
                <w:highlight w:val="none"/>
                <w:u w:val="none"/>
                <w:lang w:val="en-US" w:eastAsia="zh-CN"/>
              </w:rPr>
              <w:t>服务费</w:t>
            </w:r>
            <w:r>
              <w:rPr>
                <w:rFonts w:hint="eastAsia" w:ascii="宋体" w:hAnsi="宋体" w:cs="宋体"/>
                <w:color w:val="000000"/>
                <w:sz w:val="24"/>
                <w:szCs w:val="24"/>
                <w:highlight w:val="none"/>
                <w:u w:val="none"/>
                <w:lang w:val="en-US" w:eastAsia="zh-CN"/>
              </w:rPr>
              <w:t>按单项进行计费，</w:t>
            </w:r>
            <w:r>
              <w:rPr>
                <w:rFonts w:hint="eastAsia" w:ascii="宋体" w:hAnsi="宋体" w:eastAsia="宋体" w:cs="宋体"/>
                <w:color w:val="000000"/>
                <w:sz w:val="24"/>
                <w:szCs w:val="24"/>
                <w:highlight w:val="none"/>
                <w:u w:val="none"/>
                <w:lang w:val="en-US" w:eastAsia="zh-CN"/>
              </w:rPr>
              <w:t>以</w:t>
            </w:r>
            <w:r>
              <w:rPr>
                <w:rFonts w:hint="eastAsia" w:ascii="宋体" w:hAnsi="宋体" w:eastAsia="宋体" w:cs="宋体"/>
                <w:sz w:val="24"/>
                <w:szCs w:val="24"/>
                <w:highlight w:val="none"/>
                <w:u w:val="single"/>
                <w:lang w:val="en-US" w:eastAsia="zh-CN"/>
              </w:rPr>
              <w:t>采购人复核确认的造价</w:t>
            </w:r>
            <w:r>
              <w:rPr>
                <w:rFonts w:hint="eastAsia" w:ascii="宋体" w:hAnsi="宋体" w:eastAsia="宋体" w:cs="宋体"/>
                <w:color w:val="000000"/>
                <w:sz w:val="24"/>
                <w:szCs w:val="24"/>
                <w:highlight w:val="none"/>
                <w:u w:val="single"/>
                <w:lang w:val="en-US" w:eastAsia="zh-CN"/>
              </w:rPr>
              <w:t>为计算基础</w:t>
            </w:r>
            <w:r>
              <w:rPr>
                <w:rFonts w:hint="eastAsia" w:ascii="宋体" w:hAnsi="宋体" w:eastAsia="宋体" w:cs="宋体"/>
                <w:color w:val="000000"/>
                <w:sz w:val="24"/>
                <w:szCs w:val="24"/>
                <w:highlight w:val="none"/>
                <w:u w:val="none"/>
                <w:lang w:val="en-US" w:eastAsia="zh-CN"/>
              </w:rPr>
              <w:t>，</w:t>
            </w:r>
            <w:r>
              <w:rPr>
                <w:rFonts w:hint="eastAsia" w:ascii="宋体" w:hAnsi="宋体" w:eastAsia="宋体" w:cs="宋体"/>
                <w:color w:val="auto"/>
                <w:sz w:val="24"/>
                <w:szCs w:val="24"/>
                <w:highlight w:val="none"/>
                <w:lang w:val="en-US" w:eastAsia="zh-CN"/>
              </w:rPr>
              <w:t>收费标准依照附件七《造价咨询服务收费项目和收费标准》的计算规则及备注说明执行，</w:t>
            </w:r>
            <w:r>
              <w:rPr>
                <w:rFonts w:hint="eastAsia" w:ascii="宋体" w:hAnsi="宋体" w:eastAsia="宋体" w:cs="宋体"/>
                <w:color w:val="000000"/>
                <w:sz w:val="24"/>
                <w:szCs w:val="24"/>
                <w:highlight w:val="none"/>
                <w:u w:val="none"/>
                <w:lang w:val="en-US" w:eastAsia="zh-CN"/>
              </w:rPr>
              <w:t>具体约定与计算方法如下：</w:t>
            </w:r>
          </w:p>
          <w:p w14:paraId="4BB7B351">
            <w:pPr>
              <w:rPr>
                <w:rFonts w:hint="eastAsia" w:eastAsia="宋体"/>
                <w:strike w:val="0"/>
                <w:dstrike w:val="0"/>
                <w:color w:val="auto"/>
                <w:highlight w:val="none"/>
                <w:u w:val="none"/>
                <w:shd w:val="clear" w:fill="auto"/>
                <w:lang w:eastAsia="zh-CN"/>
              </w:rPr>
            </w:pPr>
            <w:r>
              <w:rPr>
                <w:rFonts w:hint="eastAsia" w:ascii="宋体" w:hAnsi="宋体" w:eastAsia="宋体" w:cs="宋体"/>
                <w:color w:val="000000"/>
                <w:sz w:val="24"/>
                <w:szCs w:val="24"/>
                <w:highlight w:val="none"/>
                <w:u w:val="none"/>
                <w:lang w:val="en-US" w:eastAsia="zh-CN"/>
              </w:rPr>
              <w:t>1. 单项</w:t>
            </w:r>
            <w:r>
              <w:rPr>
                <w:rFonts w:hint="eastAsia" w:ascii="宋体" w:hAnsi="宋体" w:cs="宋体"/>
                <w:color w:val="000000"/>
                <w:sz w:val="24"/>
                <w:szCs w:val="24"/>
                <w:highlight w:val="none"/>
                <w:u w:val="none"/>
                <w:lang w:val="en-US" w:eastAsia="zh-CN"/>
              </w:rPr>
              <w:t>造价咨询</w:t>
            </w:r>
            <w:r>
              <w:rPr>
                <w:rFonts w:hint="eastAsia" w:ascii="宋体" w:hAnsi="宋体" w:eastAsia="宋体" w:cs="宋体"/>
                <w:color w:val="000000"/>
                <w:sz w:val="24"/>
                <w:szCs w:val="24"/>
                <w:highlight w:val="none"/>
                <w:u w:val="none"/>
                <w:lang w:val="en-US" w:eastAsia="zh-CN"/>
              </w:rPr>
              <w:t>服务收费（即单项</w:t>
            </w:r>
            <w:r>
              <w:rPr>
                <w:rFonts w:hint="eastAsia" w:ascii="宋体" w:hAnsi="宋体" w:cs="宋体"/>
                <w:color w:val="000000"/>
                <w:sz w:val="24"/>
                <w:szCs w:val="24"/>
                <w:highlight w:val="none"/>
                <w:u w:val="none"/>
                <w:lang w:val="en-US" w:eastAsia="zh-CN"/>
              </w:rPr>
              <w:t>咨询</w:t>
            </w:r>
            <w:r>
              <w:rPr>
                <w:rFonts w:hint="eastAsia" w:ascii="宋体" w:hAnsi="宋体" w:eastAsia="宋体" w:cs="宋体"/>
                <w:color w:val="000000"/>
                <w:sz w:val="24"/>
                <w:szCs w:val="24"/>
                <w:highlight w:val="none"/>
                <w:u w:val="none"/>
                <w:lang w:val="en-US" w:eastAsia="zh-CN"/>
              </w:rPr>
              <w:t>项目合同酬金）=</w:t>
            </w:r>
            <w:r>
              <w:rPr>
                <w:rFonts w:hint="eastAsia" w:ascii="宋体" w:hAnsi="宋体" w:cs="宋体"/>
                <w:color w:val="000000"/>
                <w:sz w:val="24"/>
                <w:szCs w:val="24"/>
                <w:highlight w:val="none"/>
                <w:u w:val="none"/>
                <w:lang w:val="en-US" w:eastAsia="zh-CN"/>
              </w:rPr>
              <w:t>造价咨询</w:t>
            </w:r>
            <w:r>
              <w:rPr>
                <w:rFonts w:hint="eastAsia" w:ascii="宋体" w:hAnsi="宋体" w:eastAsia="宋体" w:cs="宋体"/>
                <w:color w:val="000000"/>
                <w:sz w:val="24"/>
                <w:szCs w:val="24"/>
                <w:highlight w:val="none"/>
                <w:u w:val="none"/>
                <w:lang w:val="en-US" w:eastAsia="zh-CN"/>
              </w:rPr>
              <w:t>服务收费</w:t>
            </w:r>
            <w:r>
              <w:rPr>
                <w:rFonts w:hint="eastAsia" w:ascii="宋体" w:hAnsi="宋体" w:cs="宋体"/>
                <w:color w:val="000000"/>
                <w:sz w:val="24"/>
                <w:szCs w:val="24"/>
                <w:highlight w:val="none"/>
                <w:u w:val="none"/>
                <w:lang w:val="en-US" w:eastAsia="zh-CN"/>
              </w:rPr>
              <w:t>标准</w:t>
            </w:r>
            <w:r>
              <w:rPr>
                <w:rFonts w:hint="eastAsia" w:ascii="宋体" w:hAnsi="宋体" w:eastAsia="宋体" w:cs="宋体"/>
                <w:color w:val="000000"/>
                <w:sz w:val="24"/>
                <w:szCs w:val="24"/>
                <w:highlight w:val="none"/>
                <w:u w:val="none"/>
                <w:lang w:val="en-US" w:eastAsia="zh-CN"/>
              </w:rPr>
              <w:t>×</w:t>
            </w:r>
            <w:r>
              <w:rPr>
                <w:rFonts w:hint="eastAsia" w:ascii="宋体" w:hAnsi="宋体" w:cs="宋体"/>
                <w:color w:val="000000"/>
                <w:sz w:val="24"/>
                <w:szCs w:val="24"/>
                <w:highlight w:val="none"/>
                <w:u w:val="none"/>
                <w:lang w:val="en-US" w:eastAsia="zh-CN"/>
              </w:rPr>
              <w:t>咨询</w:t>
            </w:r>
            <w:r>
              <w:rPr>
                <w:rFonts w:hint="eastAsia" w:ascii="宋体" w:hAnsi="宋体" w:eastAsia="宋体" w:cs="宋体"/>
                <w:color w:val="000000"/>
                <w:sz w:val="24"/>
                <w:szCs w:val="24"/>
                <w:highlight w:val="none"/>
                <w:u w:val="none"/>
                <w:lang w:val="en-US" w:eastAsia="zh-CN"/>
              </w:rPr>
              <w:t>服务收费系数；</w:t>
            </w:r>
          </w:p>
          <w:p w14:paraId="62CD988F">
            <w:pPr>
              <w:rPr>
                <w:rFonts w:hint="eastAsia" w:eastAsia="宋体"/>
                <w:strike w:val="0"/>
                <w:dstrike w:val="0"/>
                <w:color w:val="auto"/>
                <w:highlight w:val="none"/>
                <w:u w:val="none"/>
                <w:shd w:val="clear" w:fill="auto"/>
                <w:lang w:eastAsia="zh-CN"/>
              </w:rPr>
            </w:pPr>
            <w:r>
              <w:rPr>
                <w:rFonts w:hint="eastAsia" w:ascii="宋体" w:hAnsi="宋体" w:eastAsia="宋体" w:cs="宋体"/>
                <w:color w:val="000000"/>
                <w:sz w:val="24"/>
                <w:szCs w:val="24"/>
                <w:highlight w:val="none"/>
                <w:u w:val="none"/>
                <w:lang w:val="en-US" w:eastAsia="zh-CN"/>
              </w:rPr>
              <w:t xml:space="preserve">2. </w:t>
            </w:r>
            <w:r>
              <w:rPr>
                <w:rFonts w:hint="eastAsia" w:ascii="宋体" w:hAnsi="宋体" w:cs="宋体"/>
                <w:color w:val="000000"/>
                <w:sz w:val="24"/>
                <w:szCs w:val="24"/>
                <w:highlight w:val="none"/>
                <w:u w:val="none"/>
                <w:lang w:val="en-US" w:eastAsia="zh-CN"/>
              </w:rPr>
              <w:t>造价咨询</w:t>
            </w:r>
            <w:r>
              <w:rPr>
                <w:rFonts w:hint="eastAsia" w:ascii="宋体" w:hAnsi="宋体" w:eastAsia="宋体" w:cs="宋体"/>
                <w:color w:val="000000"/>
                <w:sz w:val="24"/>
                <w:szCs w:val="24"/>
                <w:highlight w:val="none"/>
                <w:u w:val="none"/>
                <w:lang w:val="en-US" w:eastAsia="zh-CN"/>
              </w:rPr>
              <w:t>服务收费</w:t>
            </w:r>
            <w:r>
              <w:rPr>
                <w:rFonts w:hint="eastAsia" w:ascii="宋体" w:hAnsi="宋体" w:cs="宋体"/>
                <w:color w:val="000000"/>
                <w:sz w:val="24"/>
                <w:szCs w:val="24"/>
                <w:highlight w:val="none"/>
                <w:u w:val="none"/>
                <w:lang w:val="en-US" w:eastAsia="zh-CN"/>
              </w:rPr>
              <w:t>标准</w:t>
            </w:r>
            <w:r>
              <w:rPr>
                <w:rFonts w:hint="eastAsia" w:ascii="宋体" w:hAnsi="宋体" w:eastAsia="宋体" w:cs="宋体"/>
                <w:color w:val="000000"/>
                <w:sz w:val="24"/>
                <w:szCs w:val="24"/>
                <w:highlight w:val="none"/>
                <w:u w:val="none"/>
                <w:lang w:val="en-US" w:eastAsia="zh-CN"/>
              </w:rPr>
              <w:t>依据</w:t>
            </w:r>
            <w:r>
              <w:rPr>
                <w:rFonts w:hint="eastAsia" w:ascii="宋体" w:hAnsi="宋体" w:cs="宋体"/>
                <w:color w:val="000000"/>
                <w:sz w:val="24"/>
                <w:szCs w:val="24"/>
                <w:highlight w:val="none"/>
                <w:u w:val="none"/>
                <w:lang w:val="en-US" w:eastAsia="zh-CN"/>
              </w:rPr>
              <w:t>附件七</w:t>
            </w:r>
            <w:r>
              <w:rPr>
                <w:rFonts w:hint="eastAsia" w:ascii="宋体" w:hAnsi="宋体" w:eastAsia="宋体" w:cs="宋体"/>
                <w:color w:val="auto"/>
                <w:sz w:val="24"/>
                <w:szCs w:val="24"/>
                <w:highlight w:val="none"/>
                <w:lang w:val="en-US" w:eastAsia="zh-CN"/>
              </w:rPr>
              <w:t>《造价咨询服务收费项目和收费标准》的计算规则及备注说明确定计算</w:t>
            </w:r>
            <w:r>
              <w:rPr>
                <w:rFonts w:hint="eastAsia" w:ascii="宋体" w:hAnsi="宋体" w:cs="宋体"/>
                <w:color w:val="auto"/>
                <w:sz w:val="24"/>
                <w:szCs w:val="24"/>
                <w:highlight w:val="none"/>
                <w:lang w:val="en-US" w:eastAsia="zh-CN"/>
              </w:rPr>
              <w:t>。</w:t>
            </w:r>
          </w:p>
          <w:p w14:paraId="0062B9B7">
            <w:pPr>
              <w:rPr>
                <w:rFonts w:hint="eastAsia" w:eastAsia="宋体"/>
                <w:strike w:val="0"/>
                <w:dstrike w:val="0"/>
                <w:color w:val="auto"/>
                <w:highlight w:val="none"/>
                <w:u w:val="none"/>
                <w:shd w:val="clear" w:fill="auto"/>
                <w:lang w:eastAsia="zh-CN"/>
              </w:rPr>
            </w:pPr>
            <w:r>
              <w:rPr>
                <w:rFonts w:hint="eastAsia" w:ascii="宋体" w:hAnsi="宋体" w:cs="宋体"/>
                <w:b/>
                <w:bCs/>
                <w:color w:val="000000"/>
                <w:sz w:val="24"/>
                <w:szCs w:val="24"/>
                <w:highlight w:val="none"/>
                <w:u w:val="none"/>
                <w:lang w:val="en-US" w:eastAsia="zh-CN"/>
              </w:rPr>
              <w:t>3</w:t>
            </w:r>
            <w:r>
              <w:rPr>
                <w:rFonts w:hint="eastAsia" w:ascii="宋体" w:hAnsi="宋体" w:eastAsia="宋体" w:cs="宋体"/>
                <w:b/>
                <w:bCs/>
                <w:color w:val="000000"/>
                <w:sz w:val="24"/>
                <w:szCs w:val="24"/>
                <w:highlight w:val="none"/>
                <w:u w:val="none"/>
                <w:lang w:val="en-US" w:eastAsia="zh-CN"/>
              </w:rPr>
              <w:t>. 供应商需在报价函中填写咨询服务收费系数，填报范围为0-0.</w:t>
            </w:r>
            <w:r>
              <w:rPr>
                <w:rFonts w:hint="eastAsia" w:ascii="宋体" w:hAnsi="宋体" w:cs="宋体"/>
                <w:b/>
                <w:bCs/>
                <w:color w:val="000000"/>
                <w:sz w:val="24"/>
                <w:szCs w:val="24"/>
                <w:highlight w:val="none"/>
                <w:u w:val="none"/>
                <w:lang w:val="en-US" w:eastAsia="zh-CN"/>
              </w:rPr>
              <w:t>9</w:t>
            </w:r>
            <w:r>
              <w:rPr>
                <w:rFonts w:hint="eastAsia" w:ascii="宋体" w:hAnsi="宋体" w:eastAsia="宋体" w:cs="宋体"/>
                <w:b/>
                <w:bCs/>
                <w:color w:val="000000"/>
                <w:sz w:val="24"/>
                <w:szCs w:val="24"/>
                <w:highlight w:val="none"/>
                <w:u w:val="none"/>
                <w:lang w:val="en-US" w:eastAsia="zh-CN"/>
              </w:rPr>
              <w:t>，填报结果精确到小数点后两位。</w:t>
            </w:r>
          </w:p>
          <w:p w14:paraId="39BD302E">
            <w:pPr>
              <w:rPr>
                <w:rFonts w:hint="eastAsia" w:eastAsia="宋体"/>
                <w:strike w:val="0"/>
                <w:dstrike w:val="0"/>
                <w:color w:val="auto"/>
                <w:highlight w:val="none"/>
                <w:u w:val="none"/>
                <w:shd w:val="clear" w:fill="auto"/>
                <w:lang w:eastAsia="zh-CN"/>
              </w:rPr>
            </w:pPr>
            <w:r>
              <w:rPr>
                <w:rFonts w:hint="eastAsia" w:ascii="宋体" w:hAnsi="宋体" w:cs="宋体"/>
                <w:b/>
                <w:bCs/>
                <w:sz w:val="24"/>
                <w:szCs w:val="24"/>
                <w:highlight w:val="none"/>
                <w:u w:val="single"/>
                <w:lang w:val="en-US" w:eastAsia="zh-CN"/>
              </w:rPr>
              <w:t xml:space="preserve">4. </w:t>
            </w:r>
            <w:r>
              <w:rPr>
                <w:rFonts w:hint="eastAsia" w:ascii="宋体" w:hAnsi="宋体" w:eastAsia="宋体" w:cs="宋体"/>
                <w:b/>
                <w:bCs/>
                <w:sz w:val="24"/>
                <w:szCs w:val="24"/>
                <w:highlight w:val="none"/>
                <w:u w:val="single"/>
                <w:lang w:val="en-US" w:eastAsia="zh-CN"/>
              </w:rPr>
              <w:t>本项目的咨询服务收费系数由投标人自主填报，投标报价的取值范围为0-0.</w:t>
            </w:r>
            <w:r>
              <w:rPr>
                <w:rFonts w:hint="eastAsia" w:ascii="宋体" w:hAnsi="宋体" w:cs="宋体"/>
                <w:b/>
                <w:bCs/>
                <w:sz w:val="24"/>
                <w:szCs w:val="24"/>
                <w:highlight w:val="none"/>
                <w:u w:val="single"/>
                <w:lang w:val="en-US" w:eastAsia="zh-CN"/>
              </w:rPr>
              <w:t>9</w:t>
            </w:r>
            <w:r>
              <w:rPr>
                <w:rFonts w:hint="eastAsia" w:ascii="宋体" w:hAnsi="宋体" w:eastAsia="宋体" w:cs="宋体"/>
                <w:b/>
                <w:bCs/>
                <w:sz w:val="24"/>
                <w:szCs w:val="24"/>
                <w:highlight w:val="none"/>
                <w:u w:val="single"/>
                <w:lang w:val="en-US" w:eastAsia="zh-CN"/>
              </w:rPr>
              <w:t>，报价超出该范围的按无效报价处理。</w:t>
            </w:r>
          </w:p>
          <w:p w14:paraId="1306B42B">
            <w:pPr>
              <w:pStyle w:val="3"/>
              <w:ind w:left="0" w:leftChars="0" w:firstLine="0" w:firstLineChars="0"/>
              <w:rPr>
                <w:rFonts w:hint="eastAsia" w:eastAsia="宋体"/>
                <w:strike w:val="0"/>
                <w:dstrike w:val="0"/>
                <w:color w:val="auto"/>
                <w:highlight w:val="none"/>
                <w:u w:val="none"/>
                <w:shd w:val="clear" w:fill="auto"/>
                <w:lang w:eastAsia="zh-CN"/>
              </w:rPr>
            </w:pPr>
            <w:r>
              <w:rPr>
                <w:rFonts w:hint="eastAsia" w:ascii="宋体" w:hAnsi="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val="en-US" w:eastAsia="zh-CN"/>
              </w:rPr>
              <w:t>投标报价应涵盖本次采购所有服务内容的全部费用，包括但不限于人工费、材料费、成本、利润、机械设备使用费、措施费、税费以及合同实施过程中的不可预见费等。</w:t>
            </w:r>
          </w:p>
          <w:p w14:paraId="679CAD17">
            <w:pPr>
              <w:pStyle w:val="3"/>
              <w:ind w:left="0" w:leftChars="0" w:firstLine="0" w:firstLineChars="0"/>
              <w:rPr>
                <w:rFonts w:hint="eastAsia"/>
                <w:highlight w:val="none"/>
                <w:lang w:val="en-US" w:eastAsia="zh-CN"/>
              </w:rPr>
            </w:pPr>
            <w:r>
              <w:rPr>
                <w:rFonts w:hint="eastAsia" w:ascii="宋体" w:hAnsi="宋体" w:cs="宋体"/>
                <w:color w:val="000000"/>
                <w:sz w:val="24"/>
                <w:szCs w:val="24"/>
                <w:highlight w:val="none"/>
                <w:u w:val="none"/>
                <w:lang w:val="en-US" w:eastAsia="zh-CN"/>
              </w:rPr>
              <w:t>6</w:t>
            </w:r>
            <w:r>
              <w:rPr>
                <w:rFonts w:hint="eastAsia" w:ascii="宋体" w:hAnsi="宋体" w:eastAsia="宋体" w:cs="宋体"/>
                <w:color w:val="000000"/>
                <w:sz w:val="24"/>
                <w:szCs w:val="24"/>
                <w:highlight w:val="none"/>
                <w:u w:val="none"/>
                <w:lang w:val="en-US" w:eastAsia="zh-CN"/>
              </w:rPr>
              <w:t>. 报价排序按供应商有效报价从低到高排列，报价最低的有效报价供应商确定为成交供应商；若多家供应商的综合报价费率同为最低，则以先</w:t>
            </w:r>
            <w:r>
              <w:rPr>
                <w:rFonts w:hint="eastAsia" w:ascii="宋体" w:hAnsi="宋体" w:cs="宋体"/>
                <w:color w:val="000000"/>
                <w:sz w:val="24"/>
                <w:szCs w:val="24"/>
                <w:highlight w:val="none"/>
                <w:u w:val="none"/>
                <w:lang w:val="en-US" w:eastAsia="zh-CN"/>
              </w:rPr>
              <w:t>送达</w:t>
            </w:r>
            <w:r>
              <w:rPr>
                <w:rFonts w:hint="eastAsia" w:ascii="宋体" w:hAnsi="宋体" w:eastAsia="宋体" w:cs="宋体"/>
                <w:color w:val="000000"/>
                <w:sz w:val="24"/>
                <w:szCs w:val="24"/>
                <w:highlight w:val="none"/>
                <w:u w:val="none"/>
                <w:lang w:val="en-US" w:eastAsia="zh-CN"/>
              </w:rPr>
              <w:t>响应文件的供应商作为成交入围供应商。</w:t>
            </w:r>
          </w:p>
        </w:tc>
      </w:tr>
      <w:tr w14:paraId="38A2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pct"/>
            <w:vAlign w:val="center"/>
          </w:tcPr>
          <w:p w14:paraId="1866FEEF">
            <w:pPr>
              <w:jc w:val="center"/>
              <w:rPr>
                <w:rFonts w:hint="eastAsia" w:ascii="宋体" w:hAnsi="宋体" w:eastAsia="宋体" w:cs="宋体"/>
                <w:b/>
                <w:bCs/>
                <w:strike w:val="0"/>
                <w:dstrike w:val="0"/>
                <w:color w:val="auto"/>
                <w:sz w:val="28"/>
                <w:szCs w:val="28"/>
                <w:highlight w:val="none"/>
                <w:u w:val="none"/>
                <w:shd w:val="clear" w:fill="auto"/>
                <w:lang w:val="en-US" w:eastAsia="zh-CN"/>
              </w:rPr>
            </w:pPr>
            <w:r>
              <w:rPr>
                <w:rFonts w:hint="eastAsia" w:ascii="宋体" w:hAnsi="宋体" w:cs="宋体"/>
                <w:b/>
                <w:bCs/>
                <w:color w:val="000000"/>
                <w:sz w:val="28"/>
                <w:szCs w:val="28"/>
                <w:highlight w:val="none"/>
                <w:u w:val="none"/>
                <w:lang w:val="en-US" w:eastAsia="zh-CN"/>
              </w:rPr>
              <w:t>咨询</w:t>
            </w:r>
            <w:r>
              <w:rPr>
                <w:rFonts w:hint="eastAsia" w:ascii="宋体" w:hAnsi="宋体" w:eastAsia="宋体" w:cs="宋体"/>
                <w:b/>
                <w:bCs/>
                <w:color w:val="000000"/>
                <w:sz w:val="28"/>
                <w:szCs w:val="28"/>
                <w:highlight w:val="none"/>
                <w:u w:val="none"/>
                <w:lang w:val="en-US" w:eastAsia="zh-CN"/>
              </w:rPr>
              <w:t>服务</w:t>
            </w:r>
          </w:p>
          <w:p w14:paraId="6368C0C7">
            <w:pPr>
              <w:jc w:val="center"/>
              <w:rPr>
                <w:rFonts w:hint="eastAsia" w:ascii="宋体" w:hAnsi="宋体" w:eastAsia="宋体" w:cs="宋体"/>
                <w:color w:val="000000"/>
                <w:sz w:val="24"/>
                <w:szCs w:val="24"/>
                <w:highlight w:val="none"/>
                <w:u w:val="none"/>
                <w:lang w:val="en-US" w:eastAsia="zh-CN"/>
              </w:rPr>
            </w:pPr>
            <w:r>
              <w:rPr>
                <w:rFonts w:hint="eastAsia" w:ascii="宋体" w:hAnsi="宋体" w:eastAsia="宋体" w:cs="宋体"/>
                <w:b/>
                <w:bCs/>
                <w:color w:val="000000"/>
                <w:sz w:val="28"/>
                <w:szCs w:val="28"/>
                <w:highlight w:val="none"/>
                <w:u w:val="none"/>
                <w:lang w:val="en-US" w:eastAsia="zh-CN"/>
              </w:rPr>
              <w:t>收费系数</w:t>
            </w:r>
          </w:p>
        </w:tc>
        <w:tc>
          <w:tcPr>
            <w:tcW w:w="4063" w:type="pct"/>
            <w:gridSpan w:val="3"/>
            <w:vAlign w:val="center"/>
          </w:tcPr>
          <w:p w14:paraId="3BDDCD08">
            <w:pPr>
              <w:jc w:val="center"/>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【该处填写0-</w:t>
            </w:r>
            <w:r>
              <w:rPr>
                <w:rFonts w:hint="eastAsia" w:ascii="宋体" w:hAnsi="宋体" w:eastAsia="宋体" w:cs="宋体"/>
                <w:strike w:val="0"/>
                <w:dstrike w:val="0"/>
                <w:color w:val="auto"/>
                <w:sz w:val="24"/>
                <w:szCs w:val="24"/>
                <w:highlight w:val="none"/>
                <w:u w:val="none"/>
                <w:shd w:val="clear" w:fill="auto"/>
                <w:lang w:val="en-US" w:eastAsia="zh-CN"/>
              </w:rPr>
              <w:t>-</w:t>
            </w:r>
            <w:r>
              <w:rPr>
                <w:rFonts w:hint="eastAsia" w:ascii="宋体" w:hAnsi="宋体" w:eastAsia="宋体" w:cs="宋体"/>
                <w:color w:val="000000"/>
                <w:sz w:val="24"/>
                <w:szCs w:val="24"/>
                <w:highlight w:val="none"/>
                <w:u w:val="none"/>
                <w:lang w:val="en-US" w:eastAsia="zh-CN"/>
              </w:rPr>
              <w:t>0.</w:t>
            </w:r>
            <w:r>
              <w:rPr>
                <w:rFonts w:hint="eastAsia" w:ascii="宋体" w:hAnsi="宋体" w:cs="宋体"/>
                <w:color w:val="000000"/>
                <w:sz w:val="24"/>
                <w:szCs w:val="24"/>
                <w:highlight w:val="none"/>
                <w:u w:val="none"/>
                <w:lang w:val="en-US" w:eastAsia="zh-CN"/>
              </w:rPr>
              <w:t>9</w:t>
            </w:r>
            <w:r>
              <w:rPr>
                <w:rFonts w:hint="eastAsia" w:ascii="宋体" w:hAnsi="宋体" w:eastAsia="宋体" w:cs="宋体"/>
                <w:color w:val="000000"/>
                <w:sz w:val="24"/>
                <w:szCs w:val="24"/>
                <w:highlight w:val="none"/>
                <w:u w:val="none"/>
                <w:lang w:val="en-US" w:eastAsia="zh-CN"/>
              </w:rPr>
              <w:t>间的数值（精确到小数点后两位）】</w:t>
            </w:r>
          </w:p>
        </w:tc>
      </w:tr>
      <w:tr w14:paraId="0007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1899" w:type="pct"/>
            <w:gridSpan w:val="2"/>
            <w:vAlign w:val="center"/>
          </w:tcPr>
          <w:p w14:paraId="65B29B0C">
            <w:pPr>
              <w:jc w:val="center"/>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响应人名称（加盖印章）：</w:t>
            </w:r>
          </w:p>
        </w:tc>
        <w:tc>
          <w:tcPr>
            <w:tcW w:w="1231" w:type="pct"/>
            <w:vAlign w:val="center"/>
          </w:tcPr>
          <w:p w14:paraId="76CE3C74">
            <w:pPr>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联系人：</w:t>
            </w:r>
          </w:p>
        </w:tc>
        <w:tc>
          <w:tcPr>
            <w:tcW w:w="1868" w:type="pct"/>
            <w:vAlign w:val="center"/>
          </w:tcPr>
          <w:p w14:paraId="4D63EB29">
            <w:pPr>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联系电话：</w:t>
            </w:r>
          </w:p>
        </w:tc>
      </w:tr>
    </w:tbl>
    <w:p w14:paraId="6C846AA9">
      <w:pPr>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none"/>
          <w:lang w:val="en-US" w:eastAsia="zh-CN"/>
        </w:rPr>
        <w:t>法定代表人（签名或盖章）：</w:t>
      </w:r>
    </w:p>
    <w:p w14:paraId="394F57B9">
      <w:pPr>
        <w:rPr>
          <w:rFonts w:hint="eastAsia" w:ascii="宋体" w:hAnsi="宋体" w:eastAsia="宋体" w:cs="宋体"/>
          <w:highlight w:val="none"/>
        </w:rPr>
      </w:pPr>
    </w:p>
    <w:p w14:paraId="70982F4A">
      <w:pPr>
        <w:rPr>
          <w:rFonts w:hint="eastAsia" w:ascii="宋体" w:hAnsi="宋体" w:eastAsia="宋体" w:cs="宋体"/>
          <w:highlight w:val="none"/>
        </w:rPr>
      </w:pPr>
      <w:r>
        <w:rPr>
          <w:rFonts w:hint="eastAsia" w:ascii="宋体" w:hAnsi="宋体" w:eastAsia="宋体" w:cs="宋体"/>
          <w:highlight w:val="none"/>
        </w:rPr>
        <w:br w:type="page"/>
      </w:r>
    </w:p>
    <w:p w14:paraId="2F89AF4B">
      <w:pPr>
        <w:rPr>
          <w:rFonts w:hint="eastAsia" w:ascii="宋体" w:hAnsi="宋体" w:eastAsia="宋体" w:cs="宋体"/>
          <w:highlight w:val="none"/>
        </w:rPr>
        <w:sectPr>
          <w:pgSz w:w="11907" w:h="16840"/>
          <w:pgMar w:top="1135" w:right="1134" w:bottom="851" w:left="1418" w:header="851" w:footer="1191" w:gutter="0"/>
          <w:cols w:space="720" w:num="1"/>
          <w:docGrid w:type="linesAndChars" w:linePitch="332" w:charSpace="0"/>
        </w:sectPr>
      </w:pPr>
    </w:p>
    <w:p w14:paraId="59F1E386">
      <w:pPr>
        <w:pStyle w:val="47"/>
        <w:ind w:firstLine="0" w:firstLineChars="0"/>
        <w:jc w:val="left"/>
        <w:outlineLvl w:val="1"/>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附件</w:t>
      </w:r>
      <w:r>
        <w:rPr>
          <w:rFonts w:hint="eastAsia" w:ascii="宋体" w:hAnsi="宋体" w:eastAsia="宋体" w:cs="宋体"/>
          <w:color w:val="000000"/>
          <w:sz w:val="24"/>
          <w:szCs w:val="24"/>
          <w:highlight w:val="none"/>
          <w:lang w:val="en-US" w:eastAsia="zh-CN"/>
        </w:rPr>
        <w:t>二</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rPr>
        <w:t>法人证明</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模板</w:t>
      </w:r>
      <w:r>
        <w:rPr>
          <w:rFonts w:hint="eastAsia" w:ascii="宋体" w:hAnsi="宋体" w:eastAsia="宋体" w:cs="宋体"/>
          <w:color w:val="000000"/>
          <w:sz w:val="24"/>
          <w:szCs w:val="24"/>
          <w:highlight w:val="none"/>
          <w:lang w:eastAsia="zh-CN"/>
        </w:rPr>
        <w:t>）</w:t>
      </w:r>
    </w:p>
    <w:p w14:paraId="17B0074E">
      <w:pPr>
        <w:pStyle w:val="47"/>
        <w:ind w:firstLine="0" w:firstLineChars="0"/>
        <w:jc w:val="left"/>
        <w:rPr>
          <w:rFonts w:hint="eastAsia" w:ascii="宋体" w:hAnsi="宋体" w:eastAsia="宋体" w:cs="宋体"/>
          <w:color w:val="000000"/>
          <w:sz w:val="24"/>
          <w:szCs w:val="24"/>
          <w:highlight w:val="none"/>
        </w:rPr>
      </w:pPr>
    </w:p>
    <w:p w14:paraId="756B5548">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法定代表人身份证明书及法定代表人身份证复印件</w:t>
      </w:r>
    </w:p>
    <w:p w14:paraId="51CA41D6">
      <w:pPr>
        <w:rPr>
          <w:rFonts w:hint="eastAsia" w:ascii="宋体" w:hAnsi="宋体" w:eastAsia="宋体" w:cs="宋体"/>
          <w:color w:val="000000"/>
          <w:sz w:val="24"/>
          <w:szCs w:val="24"/>
          <w:highlight w:val="none"/>
        </w:rPr>
      </w:pPr>
    </w:p>
    <w:p w14:paraId="58C56AC6">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东莞市大学创新城建设发展有限公司</w:t>
      </w:r>
      <w:r>
        <w:rPr>
          <w:rFonts w:hint="eastAsia" w:ascii="宋体" w:hAnsi="宋体" w:eastAsia="宋体" w:cs="宋体"/>
          <w:color w:val="000000"/>
          <w:sz w:val="24"/>
          <w:szCs w:val="24"/>
          <w:highlight w:val="none"/>
        </w:rPr>
        <w:t>：</w:t>
      </w:r>
    </w:p>
    <w:p w14:paraId="03D2E068">
      <w:pPr>
        <w:pStyle w:val="46"/>
        <w:ind w:firstLine="494"/>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本证明书声明：注册于（国家名称）的</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（响应人名称）在下面签字的</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（法定代表人姓名、职务）为本公司的合法代表人（</w:t>
      </w:r>
      <w:r>
        <w:rPr>
          <w:rFonts w:hint="eastAsia" w:ascii="宋体" w:hAnsi="宋体" w:eastAsia="宋体" w:cs="宋体"/>
          <w:b/>
          <w:bCs/>
          <w:color w:val="000000"/>
          <w:sz w:val="24"/>
          <w:szCs w:val="24"/>
          <w:highlight w:val="none"/>
        </w:rPr>
        <w:t>须附法定代表人身份证复印件</w:t>
      </w:r>
      <w:r>
        <w:rPr>
          <w:rFonts w:hint="eastAsia" w:ascii="宋体" w:hAnsi="宋体" w:eastAsia="宋体" w:cs="宋体"/>
          <w:color w:val="000000"/>
          <w:sz w:val="24"/>
          <w:szCs w:val="24"/>
          <w:highlight w:val="none"/>
        </w:rPr>
        <w:t>）。</w:t>
      </w:r>
    </w:p>
    <w:p w14:paraId="33E1EF9F">
      <w:pPr>
        <w:spacing w:line="6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特此证明</w:t>
      </w:r>
    </w:p>
    <w:p w14:paraId="12589C7D">
      <w:pPr>
        <w:spacing w:line="600" w:lineRule="exact"/>
        <w:rPr>
          <w:rFonts w:hint="eastAsia" w:ascii="宋体" w:hAnsi="宋体" w:eastAsia="宋体" w:cs="宋体"/>
          <w:color w:val="000000"/>
          <w:sz w:val="24"/>
          <w:szCs w:val="24"/>
          <w:highlight w:val="none"/>
        </w:rPr>
      </w:pPr>
    </w:p>
    <w:p w14:paraId="6538F6B0">
      <w:pPr>
        <w:spacing w:line="600" w:lineRule="exact"/>
        <w:rPr>
          <w:rFonts w:hint="eastAsia" w:ascii="宋体" w:hAnsi="宋体" w:eastAsia="宋体" w:cs="宋体"/>
          <w:color w:val="000000"/>
          <w:sz w:val="24"/>
          <w:szCs w:val="24"/>
          <w:highlight w:val="none"/>
        </w:rPr>
      </w:pPr>
    </w:p>
    <w:p w14:paraId="02935EB3">
      <w:pPr>
        <w:spacing w:line="600" w:lineRule="exact"/>
        <w:rPr>
          <w:rFonts w:hint="eastAsia" w:ascii="宋体" w:hAnsi="宋体" w:eastAsia="宋体" w:cs="宋体"/>
          <w:color w:val="000000"/>
          <w:sz w:val="24"/>
          <w:szCs w:val="24"/>
          <w:highlight w:val="none"/>
        </w:rPr>
      </w:pPr>
    </w:p>
    <w:p w14:paraId="3D31BB55">
      <w:pPr>
        <w:spacing w:line="6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响应人名称（加盖公章）：</w:t>
      </w:r>
    </w:p>
    <w:p w14:paraId="2CDB57D1">
      <w:pPr>
        <w:spacing w:line="6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响应人地址：</w:t>
      </w:r>
    </w:p>
    <w:p w14:paraId="54C12D5C">
      <w:pPr>
        <w:spacing w:line="6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法定代表人（签名或盖私章）：</w:t>
      </w:r>
    </w:p>
    <w:p w14:paraId="320F6A8E">
      <w:pPr>
        <w:spacing w:line="6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职务：</w:t>
      </w:r>
    </w:p>
    <w:p w14:paraId="55ABA9DD">
      <w:pPr>
        <w:rPr>
          <w:rFonts w:hint="eastAsia" w:ascii="宋体" w:hAnsi="宋体" w:eastAsia="宋体" w:cs="宋体"/>
          <w:color w:val="000000"/>
          <w:sz w:val="24"/>
          <w:szCs w:val="24"/>
          <w:highlight w:val="none"/>
        </w:rPr>
      </w:pPr>
    </w:p>
    <w:p w14:paraId="61A76AD8">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bookmarkStart w:id="13" w:name="_Toc384752807"/>
    </w:p>
    <w:p w14:paraId="79BAB536">
      <w:pPr>
        <w:pStyle w:val="47"/>
        <w:ind w:firstLine="0" w:firstLineChars="0"/>
        <w:jc w:val="left"/>
        <w:outlineLvl w:val="1"/>
        <w:rPr>
          <w:rFonts w:hint="eastAsia" w:ascii="宋体" w:hAnsi="宋体" w:eastAsia="宋体" w:cs="宋体"/>
          <w:color w:val="000000"/>
          <w:sz w:val="24"/>
          <w:szCs w:val="24"/>
          <w:highlight w:val="none"/>
        </w:rPr>
      </w:pPr>
      <w:bookmarkStart w:id="14" w:name="_Hlk40704362"/>
      <w:r>
        <w:rPr>
          <w:rFonts w:hint="eastAsia" w:ascii="宋体" w:hAnsi="宋体" w:eastAsia="宋体" w:cs="宋体"/>
          <w:color w:val="000000"/>
          <w:sz w:val="24"/>
          <w:szCs w:val="24"/>
          <w:highlight w:val="none"/>
        </w:rPr>
        <w:t>附件</w:t>
      </w:r>
      <w:r>
        <w:rPr>
          <w:rFonts w:hint="eastAsia" w:ascii="宋体" w:hAnsi="宋体" w:eastAsia="宋体" w:cs="宋体"/>
          <w:color w:val="000000"/>
          <w:sz w:val="24"/>
          <w:szCs w:val="24"/>
          <w:highlight w:val="none"/>
          <w:lang w:val="en-US" w:eastAsia="zh-CN"/>
        </w:rPr>
        <w:t>三</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rPr>
        <w:t>法人授权书</w:t>
      </w:r>
    </w:p>
    <w:p w14:paraId="23A9BC25">
      <w:pPr>
        <w:widowControl/>
        <w:jc w:val="center"/>
        <w:rPr>
          <w:rFonts w:hint="eastAsia" w:ascii="宋体" w:hAnsi="宋体" w:eastAsia="宋体" w:cs="宋体"/>
          <w:b/>
          <w:color w:val="000000"/>
          <w:sz w:val="24"/>
          <w:szCs w:val="24"/>
          <w:highlight w:val="none"/>
        </w:rPr>
      </w:pPr>
    </w:p>
    <w:p w14:paraId="37AC24A7">
      <w:pPr>
        <w:widowControl/>
        <w:jc w:val="center"/>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授权委托书</w:t>
      </w:r>
      <w:bookmarkEnd w:id="13"/>
    </w:p>
    <w:p w14:paraId="7004FA34">
      <w:pPr>
        <w:pStyle w:val="46"/>
        <w:ind w:firstLine="0" w:firstLineChars="0"/>
        <w:rPr>
          <w:rFonts w:hint="eastAsia" w:ascii="宋体" w:hAnsi="宋体" w:eastAsia="宋体" w:cs="宋体"/>
          <w:color w:val="000000"/>
          <w:sz w:val="24"/>
          <w:szCs w:val="24"/>
          <w:highlight w:val="none"/>
        </w:rPr>
      </w:pPr>
    </w:p>
    <w:p w14:paraId="4DB4CE30">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东莞市大学创新城建设发展有限公司</w:t>
      </w:r>
      <w:r>
        <w:rPr>
          <w:rFonts w:hint="eastAsia" w:ascii="宋体" w:hAnsi="宋体" w:eastAsia="宋体" w:cs="宋体"/>
          <w:color w:val="000000"/>
          <w:sz w:val="24"/>
          <w:szCs w:val="24"/>
          <w:highlight w:val="none"/>
        </w:rPr>
        <w:t>：</w:t>
      </w:r>
    </w:p>
    <w:p w14:paraId="665300FD">
      <w:pPr>
        <w:pStyle w:val="46"/>
        <w:ind w:firstLine="494"/>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本委托书声明：在下面签字的</w:t>
      </w:r>
      <w:r>
        <w:rPr>
          <w:rFonts w:hint="eastAsia" w:ascii="宋体" w:hAnsi="宋体" w:eastAsia="宋体" w:cs="宋体"/>
          <w:color w:val="000000"/>
          <w:sz w:val="24"/>
          <w:szCs w:val="24"/>
          <w:highlight w:val="none"/>
          <w:u w:val="single"/>
        </w:rPr>
        <w:t>（填写法定代表人姓名、职务）</w:t>
      </w:r>
      <w:r>
        <w:rPr>
          <w:rFonts w:hint="eastAsia" w:ascii="宋体" w:hAnsi="宋体" w:eastAsia="宋体" w:cs="宋体"/>
          <w:color w:val="000000"/>
          <w:sz w:val="24"/>
          <w:szCs w:val="24"/>
          <w:highlight w:val="none"/>
        </w:rPr>
        <w:t>代表</w:t>
      </w:r>
      <w:r>
        <w:rPr>
          <w:rFonts w:hint="eastAsia" w:ascii="宋体" w:hAnsi="宋体" w:eastAsia="宋体" w:cs="宋体"/>
          <w:color w:val="000000"/>
          <w:sz w:val="24"/>
          <w:szCs w:val="24"/>
          <w:highlight w:val="none"/>
          <w:u w:val="single"/>
        </w:rPr>
        <w:t>（填写响应人名称）</w:t>
      </w:r>
      <w:r>
        <w:rPr>
          <w:rFonts w:hint="eastAsia" w:ascii="宋体" w:hAnsi="宋体" w:eastAsia="宋体" w:cs="宋体"/>
          <w:color w:val="000000"/>
          <w:sz w:val="24"/>
          <w:szCs w:val="24"/>
          <w:highlight w:val="none"/>
        </w:rPr>
        <w:t>委托在下面签字的</w:t>
      </w:r>
      <w:r>
        <w:rPr>
          <w:rFonts w:hint="eastAsia" w:ascii="宋体" w:hAnsi="宋体" w:eastAsia="宋体" w:cs="宋体"/>
          <w:color w:val="000000"/>
          <w:sz w:val="24"/>
          <w:szCs w:val="24"/>
          <w:highlight w:val="none"/>
          <w:u w:val="single"/>
        </w:rPr>
        <w:t>（填写受委托人的姓名、职务）</w:t>
      </w:r>
      <w:r>
        <w:rPr>
          <w:rFonts w:hint="eastAsia" w:ascii="宋体" w:hAnsi="宋体" w:eastAsia="宋体" w:cs="宋体"/>
          <w:color w:val="000000"/>
          <w:sz w:val="24"/>
          <w:szCs w:val="24"/>
          <w:highlight w:val="none"/>
        </w:rPr>
        <w:t>为本公司的合法代表人，就</w:t>
      </w:r>
      <w:r>
        <w:rPr>
          <w:rFonts w:hint="eastAsia" w:ascii="宋体" w:hAnsi="宋体" w:eastAsia="宋体" w:cs="宋体"/>
          <w:color w:val="000000"/>
          <w:sz w:val="24"/>
          <w:szCs w:val="24"/>
          <w:highlight w:val="none"/>
          <w:u w:val="single"/>
        </w:rPr>
        <w:t>（填写项目名称）</w:t>
      </w:r>
      <w:r>
        <w:rPr>
          <w:rFonts w:hint="eastAsia" w:ascii="宋体" w:hAnsi="宋体" w:eastAsia="宋体" w:cs="宋体"/>
          <w:color w:val="000000"/>
          <w:sz w:val="24"/>
          <w:szCs w:val="24"/>
          <w:highlight w:val="none"/>
        </w:rPr>
        <w:t>项目</w:t>
      </w:r>
      <w:r>
        <w:rPr>
          <w:rFonts w:hint="eastAsia" w:ascii="宋体" w:hAnsi="宋体" w:eastAsia="宋体" w:cs="宋体"/>
          <w:strike w:val="0"/>
          <w:dstrike w:val="0"/>
          <w:color w:val="auto"/>
          <w:sz w:val="24"/>
          <w:szCs w:val="24"/>
          <w:highlight w:val="none"/>
          <w:u w:val="none"/>
          <w:shd w:val="clear" w:fill="auto"/>
        </w:rPr>
        <w:t>等</w:t>
      </w:r>
      <w:r>
        <w:rPr>
          <w:rFonts w:hint="eastAsia" w:ascii="宋体" w:hAnsi="宋体" w:eastAsia="宋体" w:cs="宋体"/>
          <w:color w:val="000000"/>
          <w:sz w:val="24"/>
          <w:szCs w:val="24"/>
          <w:highlight w:val="none"/>
        </w:rPr>
        <w:t>相关服务的谈判和合同的执行，以我方的名义处理一切与之有关的事宜（相关身份证复印件须附后）。</w:t>
      </w:r>
    </w:p>
    <w:p w14:paraId="2C686F85">
      <w:pPr>
        <w:pStyle w:val="46"/>
        <w:ind w:firstLine="494"/>
        <w:rPr>
          <w:rFonts w:hint="eastAsia" w:ascii="宋体" w:hAnsi="宋体" w:eastAsia="宋体" w:cs="宋体"/>
          <w:color w:val="000000"/>
          <w:sz w:val="24"/>
          <w:szCs w:val="24"/>
          <w:highlight w:val="none"/>
        </w:rPr>
      </w:pPr>
    </w:p>
    <w:p w14:paraId="24623CE5">
      <w:pPr>
        <w:pStyle w:val="46"/>
        <w:ind w:firstLine="494"/>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本委托书于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月   日至   年    月   日</w:t>
      </w:r>
      <w:r>
        <w:rPr>
          <w:rFonts w:hint="eastAsia" w:ascii="宋体" w:hAnsi="宋体" w:eastAsia="宋体" w:cs="宋体"/>
          <w:strike w:val="0"/>
          <w:dstrike w:val="0"/>
          <w:color w:val="auto"/>
          <w:sz w:val="24"/>
          <w:szCs w:val="24"/>
          <w:highlight w:val="none"/>
          <w:u w:val="none"/>
          <w:shd w:val="clear" w:fill="auto"/>
        </w:rPr>
        <w:t>签字生效</w:t>
      </w:r>
      <w:r>
        <w:rPr>
          <w:rFonts w:hint="eastAsia" w:ascii="宋体" w:hAnsi="宋体" w:eastAsia="宋体" w:cs="宋体"/>
          <w:color w:val="000000"/>
          <w:sz w:val="24"/>
          <w:szCs w:val="24"/>
          <w:highlight w:val="none"/>
        </w:rPr>
        <w:t>，有效期与</w:t>
      </w: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有效期一致，特此声明。</w:t>
      </w:r>
    </w:p>
    <w:p w14:paraId="0277879E">
      <w:pPr>
        <w:pStyle w:val="46"/>
        <w:ind w:firstLine="494"/>
        <w:rPr>
          <w:rFonts w:hint="eastAsia" w:ascii="宋体" w:hAnsi="宋体" w:eastAsia="宋体" w:cs="宋体"/>
          <w:color w:val="000000"/>
          <w:sz w:val="24"/>
          <w:szCs w:val="24"/>
          <w:highlight w:val="none"/>
        </w:rPr>
      </w:pPr>
    </w:p>
    <w:p w14:paraId="0BB850CD">
      <w:pPr>
        <w:pStyle w:val="46"/>
        <w:ind w:right="16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响应人名称（加盖公章）：</w:t>
      </w:r>
    </w:p>
    <w:p w14:paraId="69FB3891">
      <w:pPr>
        <w:pStyle w:val="46"/>
        <w:ind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响应人地址：</w:t>
      </w:r>
    </w:p>
    <w:p w14:paraId="1EF4BC94">
      <w:pPr>
        <w:pStyle w:val="46"/>
        <w:ind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法定代表人（签字或盖章）：</w:t>
      </w:r>
    </w:p>
    <w:p w14:paraId="656FB299">
      <w:pPr>
        <w:pStyle w:val="46"/>
        <w:ind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职务：</w:t>
      </w:r>
    </w:p>
    <w:p w14:paraId="5B41FB35">
      <w:pPr>
        <w:pStyle w:val="46"/>
        <w:ind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受委托人（签字或盖章）：</w:t>
      </w:r>
    </w:p>
    <w:p w14:paraId="31E07BA3">
      <w:pPr>
        <w:pStyle w:val="46"/>
        <w:ind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职务：</w:t>
      </w:r>
    </w:p>
    <w:p w14:paraId="524A161B">
      <w:pPr>
        <w:pStyle w:val="46"/>
        <w:ind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w:t>
      </w:r>
    </w:p>
    <w:bookmarkEnd w:id="14"/>
    <w:p w14:paraId="07C08587">
      <w:pPr>
        <w:pStyle w:val="47"/>
        <w:ind w:firstLine="0" w:firstLineChars="0"/>
        <w:jc w:val="left"/>
        <w:outlineLvl w:val="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r>
        <w:rPr>
          <w:rFonts w:hint="eastAsia" w:ascii="宋体" w:hAnsi="宋体" w:eastAsia="宋体" w:cs="宋体"/>
          <w:color w:val="000000"/>
          <w:sz w:val="24"/>
          <w:szCs w:val="24"/>
          <w:highlight w:val="none"/>
        </w:rPr>
        <w:t>附件</w:t>
      </w:r>
      <w:r>
        <w:rPr>
          <w:rFonts w:hint="eastAsia" w:ascii="宋体" w:hAnsi="宋体" w:eastAsia="宋体" w:cs="宋体"/>
          <w:color w:val="000000"/>
          <w:sz w:val="24"/>
          <w:szCs w:val="24"/>
          <w:highlight w:val="none"/>
          <w:lang w:val="en-US" w:eastAsia="zh-CN"/>
        </w:rPr>
        <w:t>四</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rPr>
        <w:t>承诺函</w:t>
      </w:r>
    </w:p>
    <w:p w14:paraId="2D5250C2">
      <w:pPr>
        <w:pStyle w:val="47"/>
        <w:ind w:firstLine="0" w:firstLineChars="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承诺函</w:t>
      </w:r>
    </w:p>
    <w:p w14:paraId="08065AAA">
      <w:pPr>
        <w:pStyle w:val="47"/>
        <w:ind w:firstLine="0" w:firstLineChars="0"/>
        <w:jc w:val="center"/>
        <w:rPr>
          <w:rFonts w:hint="eastAsia" w:ascii="宋体" w:hAnsi="宋体" w:eastAsia="宋体" w:cs="宋体"/>
          <w:b/>
          <w:color w:val="000000"/>
          <w:sz w:val="24"/>
          <w:szCs w:val="24"/>
          <w:highlight w:val="none"/>
        </w:rPr>
      </w:pPr>
    </w:p>
    <w:p w14:paraId="1D7E9B33">
      <w:pPr>
        <w:pStyle w:val="47"/>
        <w:ind w:firstLine="0" w:firstLineChars="0"/>
        <w:jc w:val="center"/>
        <w:rPr>
          <w:rFonts w:hint="eastAsia" w:ascii="宋体" w:hAnsi="宋体" w:eastAsia="宋体" w:cs="宋体"/>
          <w:b/>
          <w:color w:val="000000"/>
          <w:sz w:val="24"/>
          <w:szCs w:val="24"/>
          <w:highlight w:val="none"/>
        </w:rPr>
      </w:pPr>
    </w:p>
    <w:p w14:paraId="70A08A55">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东莞市大学创新城建设发展有限公司</w:t>
      </w:r>
      <w:r>
        <w:rPr>
          <w:rFonts w:hint="eastAsia" w:ascii="宋体" w:hAnsi="宋体" w:eastAsia="宋体" w:cs="宋体"/>
          <w:color w:val="000000"/>
          <w:sz w:val="24"/>
          <w:szCs w:val="24"/>
          <w:highlight w:val="none"/>
        </w:rPr>
        <w:t>：</w:t>
      </w:r>
    </w:p>
    <w:p w14:paraId="0D095AFB">
      <w:pPr>
        <w:pStyle w:val="46"/>
        <w:ind w:firstLine="64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我司就参加</w:t>
      </w:r>
      <w:r>
        <w:rPr>
          <w:rFonts w:hint="eastAsia" w:ascii="宋体" w:hAnsi="宋体" w:eastAsia="宋体" w:cs="宋体"/>
          <w:color w:val="000000"/>
          <w:sz w:val="24"/>
          <w:szCs w:val="24"/>
          <w:highlight w:val="none"/>
          <w:u w:val="single"/>
          <w:lang w:val="en-US" w:eastAsia="zh-CN"/>
        </w:rPr>
        <w:t>松山湖国际创新创业社区2026-2027年度造价咨询服务</w:t>
      </w:r>
      <w:r>
        <w:rPr>
          <w:rFonts w:hint="eastAsia" w:ascii="宋体" w:hAnsi="宋体" w:eastAsia="宋体" w:cs="宋体"/>
          <w:color w:val="000000"/>
          <w:sz w:val="24"/>
          <w:szCs w:val="24"/>
          <w:highlight w:val="none"/>
        </w:rPr>
        <w:t>项目</w:t>
      </w:r>
      <w:r>
        <w:rPr>
          <w:rFonts w:hint="eastAsia" w:ascii="宋体" w:hAnsi="宋体" w:eastAsia="宋体" w:cs="宋体"/>
          <w:strike w:val="0"/>
          <w:dstrike w:val="0"/>
          <w:color w:val="auto"/>
          <w:sz w:val="24"/>
          <w:szCs w:val="24"/>
          <w:highlight w:val="none"/>
          <w:u w:val="none"/>
          <w:shd w:val="clear" w:fill="auto"/>
        </w:rPr>
        <w:t>投标</w:t>
      </w:r>
      <w:r>
        <w:rPr>
          <w:rFonts w:hint="eastAsia" w:ascii="宋体" w:hAnsi="宋体" w:eastAsia="宋体" w:cs="宋体"/>
          <w:color w:val="000000"/>
          <w:sz w:val="24"/>
          <w:szCs w:val="24"/>
          <w:highlight w:val="none"/>
        </w:rPr>
        <w:t>工作，作出以下承诺：</w:t>
      </w:r>
    </w:p>
    <w:p w14:paraId="5BF4BB3C">
      <w:pPr>
        <w:pStyle w:val="46"/>
        <w:ind w:firstLine="494"/>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我公司已充分了解采购项目情况，本次报价完全响应</w:t>
      </w: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文件的要求，我公司所提供的</w:t>
      </w:r>
      <w:r>
        <w:rPr>
          <w:rFonts w:hint="eastAsia" w:ascii="宋体" w:hAnsi="宋体" w:eastAsia="宋体" w:cs="宋体"/>
          <w:color w:val="000000"/>
          <w:sz w:val="24"/>
          <w:szCs w:val="24"/>
          <w:highlight w:val="none"/>
          <w:u w:val="single"/>
          <w:lang w:val="en-US" w:eastAsia="zh-CN"/>
        </w:rPr>
        <w:t>服务及报价方案</w:t>
      </w:r>
      <w:r>
        <w:rPr>
          <w:rFonts w:hint="eastAsia" w:ascii="宋体" w:hAnsi="宋体" w:eastAsia="宋体" w:cs="宋体"/>
          <w:color w:val="000000"/>
          <w:sz w:val="24"/>
          <w:szCs w:val="24"/>
          <w:highlight w:val="none"/>
        </w:rPr>
        <w:t>等于或优于采购人需求，并承诺如不满足采购人需求，采购人有权取消合同并进行违约处罚。</w:t>
      </w:r>
    </w:p>
    <w:p w14:paraId="4611E6ED">
      <w:pPr>
        <w:jc w:val="left"/>
        <w:rPr>
          <w:rFonts w:hint="eastAsia" w:ascii="宋体" w:hAnsi="宋体" w:eastAsia="宋体" w:cs="宋体"/>
          <w:color w:val="000000"/>
          <w:sz w:val="24"/>
          <w:szCs w:val="24"/>
          <w:highlight w:val="none"/>
        </w:rPr>
      </w:pPr>
    </w:p>
    <w:p w14:paraId="1BB7E73E">
      <w:pPr>
        <w:jc w:val="left"/>
        <w:rPr>
          <w:rFonts w:hint="eastAsia" w:ascii="宋体" w:hAnsi="宋体" w:eastAsia="宋体" w:cs="宋体"/>
          <w:color w:val="000000"/>
          <w:sz w:val="24"/>
          <w:szCs w:val="24"/>
          <w:highlight w:val="none"/>
        </w:rPr>
      </w:pPr>
    </w:p>
    <w:p w14:paraId="712DCED6">
      <w:pPr>
        <w:jc w:val="left"/>
        <w:rPr>
          <w:rFonts w:hint="eastAsia" w:ascii="宋体" w:hAnsi="宋体" w:eastAsia="宋体" w:cs="宋体"/>
          <w:color w:val="000000"/>
          <w:sz w:val="24"/>
          <w:szCs w:val="24"/>
          <w:highlight w:val="none"/>
        </w:rPr>
      </w:pPr>
    </w:p>
    <w:p w14:paraId="21DE61CA">
      <w:pPr>
        <w:pStyle w:val="46"/>
        <w:ind w:right="16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响应人名称（加盖公章）：</w:t>
      </w:r>
    </w:p>
    <w:p w14:paraId="7FD8F464">
      <w:pPr>
        <w:pStyle w:val="46"/>
        <w:ind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响应人地址：</w:t>
      </w:r>
    </w:p>
    <w:p w14:paraId="2D5DF8A5">
      <w:pPr>
        <w:pStyle w:val="46"/>
        <w:ind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法定代表人（签字或盖章）：</w:t>
      </w:r>
    </w:p>
    <w:p w14:paraId="42AB70C2">
      <w:pPr>
        <w:pStyle w:val="46"/>
        <w:ind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职务：</w:t>
      </w:r>
    </w:p>
    <w:p w14:paraId="13C250CA">
      <w:pPr>
        <w:pStyle w:val="46"/>
        <w:ind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w:t>
      </w:r>
    </w:p>
    <w:p w14:paraId="3E03F7DE">
      <w:pPr>
        <w:pStyle w:val="46"/>
        <w:ind w:firstLine="0" w:firstLineChars="0"/>
        <w:jc w:val="left"/>
        <w:rPr>
          <w:rFonts w:hint="eastAsia" w:ascii="宋体" w:hAnsi="宋体" w:eastAsia="宋体" w:cs="宋体"/>
          <w:color w:val="000000"/>
          <w:sz w:val="24"/>
          <w:szCs w:val="24"/>
          <w:highlight w:val="none"/>
        </w:rPr>
      </w:pPr>
    </w:p>
    <w:p w14:paraId="186876A2">
      <w:pPr>
        <w:pStyle w:val="46"/>
        <w:ind w:firstLine="0" w:firstLineChars="0"/>
        <w:jc w:val="left"/>
        <w:rPr>
          <w:rFonts w:hint="eastAsia" w:ascii="宋体" w:hAnsi="宋体" w:eastAsia="宋体" w:cs="宋体"/>
          <w:color w:val="000000"/>
          <w:sz w:val="24"/>
          <w:szCs w:val="24"/>
          <w:highlight w:val="none"/>
        </w:rPr>
      </w:pPr>
    </w:p>
    <w:p w14:paraId="7DE8E1ED">
      <w:pPr>
        <w:rPr>
          <w:rFonts w:hint="eastAsia" w:ascii="宋体" w:hAnsi="宋体" w:eastAsia="宋体" w:cs="宋体"/>
          <w:color w:val="000000"/>
          <w:sz w:val="24"/>
          <w:szCs w:val="24"/>
          <w:highlight w:val="none"/>
        </w:rPr>
      </w:pPr>
    </w:p>
    <w:p w14:paraId="3993C805">
      <w:pPr>
        <w:widowControl/>
        <w:jc w:val="left"/>
        <w:rPr>
          <w:rFonts w:hint="eastAsia" w:ascii="宋体" w:hAnsi="宋体" w:eastAsia="宋体" w:cs="宋体"/>
          <w:color w:val="000000"/>
          <w:sz w:val="24"/>
          <w:szCs w:val="24"/>
          <w:highlight w:val="none"/>
        </w:rPr>
      </w:pPr>
    </w:p>
    <w:p w14:paraId="1FDD0B90">
      <w:pPr>
        <w:widowControl/>
        <w:jc w:val="left"/>
        <w:rPr>
          <w:rFonts w:hint="eastAsia" w:ascii="宋体" w:hAnsi="宋体" w:eastAsia="宋体" w:cs="宋体"/>
          <w:color w:val="000000"/>
          <w:sz w:val="24"/>
          <w:szCs w:val="24"/>
          <w:highlight w:val="none"/>
        </w:rPr>
      </w:pPr>
    </w:p>
    <w:p w14:paraId="6FD76ECB">
      <w:pPr>
        <w:pStyle w:val="6"/>
        <w:rPr>
          <w:rFonts w:hint="eastAsia" w:ascii="宋体" w:hAnsi="宋体" w:eastAsia="宋体" w:cs="宋体"/>
          <w:color w:val="000000"/>
          <w:sz w:val="32"/>
          <w:szCs w:val="32"/>
          <w:highlight w:val="none"/>
        </w:rPr>
      </w:pPr>
      <w:bookmarkStart w:id="15" w:name="_Hlk40704598"/>
      <w:r>
        <w:rPr>
          <w:rFonts w:hint="eastAsia" w:ascii="宋体" w:hAnsi="宋体" w:eastAsia="宋体" w:cs="宋体"/>
          <w:color w:val="000000"/>
          <w:sz w:val="24"/>
          <w:szCs w:val="24"/>
          <w:highlight w:val="none"/>
        </w:rPr>
        <w:br w:type="page"/>
      </w:r>
      <w:bookmarkEnd w:id="12"/>
      <w:bookmarkEnd w:id="15"/>
      <w:r>
        <w:rPr>
          <w:rFonts w:hint="eastAsia" w:ascii="宋体" w:hAnsi="宋体" w:eastAsia="宋体" w:cs="宋体"/>
          <w:color w:val="000000"/>
          <w:sz w:val="28"/>
          <w:szCs w:val="44"/>
          <w:highlight w:val="none"/>
        </w:rPr>
        <w:t>附件</w:t>
      </w:r>
      <w:r>
        <w:rPr>
          <w:rFonts w:hint="eastAsia" w:ascii="宋体" w:hAnsi="宋体" w:eastAsia="宋体" w:cs="宋体"/>
          <w:color w:val="000000"/>
          <w:sz w:val="28"/>
          <w:szCs w:val="44"/>
          <w:highlight w:val="none"/>
          <w:lang w:val="en-US" w:eastAsia="zh-CN"/>
        </w:rPr>
        <w:t>五</w:t>
      </w:r>
      <w:r>
        <w:rPr>
          <w:rFonts w:hint="eastAsia" w:ascii="宋体" w:hAnsi="宋体" w:eastAsia="宋体" w:cs="宋体"/>
          <w:color w:val="000000"/>
          <w:sz w:val="28"/>
          <w:szCs w:val="44"/>
          <w:highlight w:val="none"/>
        </w:rPr>
        <w:t>：合同文本（仅供参考）</w:t>
      </w:r>
    </w:p>
    <w:p w14:paraId="61C7473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造价咨询服务合同</w:t>
      </w:r>
    </w:p>
    <w:p w14:paraId="47AB8448">
      <w:pPr>
        <w:keepNext w:val="0"/>
        <w:keepLines w:val="0"/>
        <w:pageBreakBefore w:val="0"/>
        <w:widowControl/>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rPr>
        <w:t>委托人（以下简称甲方）：</w:t>
      </w:r>
      <w:r>
        <w:rPr>
          <w:rFonts w:hint="eastAsia" w:ascii="宋体" w:hAnsi="宋体" w:eastAsia="宋体" w:cs="宋体"/>
          <w:b/>
          <w:bCs/>
          <w:color w:val="auto"/>
          <w:szCs w:val="21"/>
          <w:highlight w:val="none"/>
          <w:u w:val="single"/>
        </w:rPr>
        <w:t xml:space="preserve">                            </w:t>
      </w:r>
    </w:p>
    <w:p w14:paraId="1CB3DE1D">
      <w:pPr>
        <w:keepNext w:val="0"/>
        <w:keepLines w:val="0"/>
        <w:pageBreakBefore w:val="0"/>
        <w:widowControl/>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咨询人（以下简称乙方）：</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 xml:space="preserve"> </w:t>
      </w:r>
      <w:r>
        <w:rPr>
          <w:rFonts w:hint="eastAsia" w:ascii="宋体" w:hAnsi="宋体" w:eastAsia="宋体" w:cs="宋体"/>
          <w:color w:val="auto"/>
          <w:szCs w:val="21"/>
          <w:highlight w:val="none"/>
        </w:rPr>
        <w:t xml:space="preserve">   </w:t>
      </w:r>
    </w:p>
    <w:p w14:paraId="3150BF3E">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甲方委托乙方承担工程造价咨询业务，按照《</w:t>
      </w:r>
      <w:r>
        <w:rPr>
          <w:rFonts w:hint="eastAsia" w:ascii="宋体" w:hAnsi="宋体" w:eastAsia="宋体" w:cs="宋体"/>
          <w:color w:val="auto"/>
          <w:szCs w:val="21"/>
          <w:highlight w:val="none"/>
          <w:lang w:eastAsia="zh-CN"/>
        </w:rPr>
        <w:t>中华人民共和国民法典</w:t>
      </w:r>
      <w:r>
        <w:rPr>
          <w:rFonts w:hint="eastAsia" w:ascii="宋体" w:hAnsi="宋体" w:eastAsia="宋体" w:cs="宋体"/>
          <w:color w:val="auto"/>
          <w:szCs w:val="21"/>
          <w:highlight w:val="none"/>
        </w:rPr>
        <w:t>》，并结合国家建设部、省市有关规定及本工程具体情况，签订本合同。</w:t>
      </w:r>
    </w:p>
    <w:p w14:paraId="76945292">
      <w:pPr>
        <w:keepNext w:val="0"/>
        <w:keepLines w:val="0"/>
        <w:pageBreakBefore w:val="0"/>
        <w:widowControl/>
        <w:kinsoku/>
        <w:overflowPunct/>
        <w:topLinePunct w:val="0"/>
        <w:autoSpaceDE/>
        <w:autoSpaceDN/>
        <w:bidi w:val="0"/>
        <w:adjustRightInd w:val="0"/>
        <w:snapToGrid w:val="0"/>
        <w:spacing w:line="360" w:lineRule="auto"/>
        <w:ind w:left="413" w:hanging="413" w:hangingChars="19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第一条 项目概况</w:t>
      </w:r>
    </w:p>
    <w:p w14:paraId="50EA7B6D">
      <w:pPr>
        <w:keepNext w:val="0"/>
        <w:keepLines w:val="0"/>
        <w:pageBreakBefore w:val="0"/>
        <w:widowControl/>
        <w:kinsoku/>
        <w:wordWrap w:val="0"/>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1.1</w:t>
      </w:r>
      <w:r>
        <w:rPr>
          <w:rFonts w:hint="eastAsia" w:ascii="宋体" w:hAnsi="宋体" w:eastAsia="宋体" w:cs="宋体"/>
          <w:b w:val="0"/>
          <w:bCs w:val="0"/>
          <w:color w:val="auto"/>
          <w:szCs w:val="21"/>
          <w:highlight w:val="none"/>
          <w:lang w:val="en-US" w:eastAsia="zh-CN"/>
        </w:rPr>
        <w:t>项目名称：松山湖国际创新创业社区2026-2027年度造价咨询服务项目；</w:t>
      </w:r>
    </w:p>
    <w:p w14:paraId="2B47F917">
      <w:pPr>
        <w:keepNext w:val="0"/>
        <w:keepLines w:val="0"/>
        <w:pageBreakBefore w:val="0"/>
        <w:widowControl/>
        <w:kinsoku/>
        <w:wordWrap w:val="0"/>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1.2</w:t>
      </w:r>
      <w:r>
        <w:rPr>
          <w:rFonts w:hint="eastAsia" w:ascii="宋体" w:hAnsi="宋体" w:eastAsia="宋体" w:cs="宋体"/>
          <w:b w:val="0"/>
          <w:bCs w:val="0"/>
          <w:color w:val="auto"/>
          <w:szCs w:val="21"/>
          <w:highlight w:val="none"/>
          <w:lang w:val="en-US" w:eastAsia="zh-CN"/>
        </w:rPr>
        <w:t>预算金额（元）：本项目为资格采购，无具体预算金额；</w:t>
      </w:r>
    </w:p>
    <w:p w14:paraId="44A1BA03">
      <w:pPr>
        <w:keepNext w:val="0"/>
        <w:keepLines w:val="0"/>
        <w:pageBreakBefore w:val="0"/>
        <w:widowControl/>
        <w:kinsoku/>
        <w:wordWrap w:val="0"/>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1.3</w:t>
      </w:r>
      <w:r>
        <w:rPr>
          <w:rFonts w:hint="eastAsia" w:ascii="宋体" w:hAnsi="宋体" w:eastAsia="宋体" w:cs="宋体"/>
          <w:b w:val="0"/>
          <w:bCs w:val="0"/>
          <w:color w:val="auto"/>
          <w:szCs w:val="21"/>
          <w:highlight w:val="none"/>
          <w:lang w:val="en-US" w:eastAsia="zh-CN"/>
        </w:rPr>
        <w:t>项目内容：社区2026-2027年度造价咨询服务</w:t>
      </w:r>
      <w:r>
        <w:rPr>
          <w:rFonts w:hint="eastAsia" w:ascii="宋体" w:hAnsi="宋体" w:eastAsia="宋体" w:cs="宋体"/>
          <w:b w:val="0"/>
          <w:bCs w:val="0"/>
          <w:strike w:val="0"/>
          <w:dstrike w:val="0"/>
          <w:color w:val="auto"/>
          <w:szCs w:val="21"/>
          <w:highlight w:val="none"/>
          <w:u w:val="none"/>
          <w:shd w:val="clear" w:fill="auto"/>
          <w:lang w:val="en-US" w:eastAsia="zh-CN"/>
        </w:rPr>
        <w:t>项目</w:t>
      </w:r>
      <w:r>
        <w:rPr>
          <w:rFonts w:hint="eastAsia" w:ascii="宋体" w:hAnsi="宋体" w:eastAsia="宋体" w:cs="宋体"/>
          <w:b w:val="0"/>
          <w:bCs w:val="0"/>
          <w:color w:val="auto"/>
          <w:szCs w:val="21"/>
          <w:highlight w:val="none"/>
          <w:lang w:val="en-US" w:eastAsia="zh-CN"/>
        </w:rPr>
        <w:t>（含预算编制、结算审核等工作）；</w:t>
      </w:r>
    </w:p>
    <w:p w14:paraId="0287ED7D">
      <w:pPr>
        <w:keepNext w:val="0"/>
        <w:keepLines w:val="0"/>
        <w:pageBreakBefore w:val="0"/>
        <w:widowControl/>
        <w:kinsoku/>
        <w:wordWrap w:val="0"/>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1.4</w:t>
      </w:r>
      <w:r>
        <w:rPr>
          <w:rFonts w:hint="eastAsia" w:ascii="宋体" w:hAnsi="宋体" w:eastAsia="宋体" w:cs="宋体"/>
          <w:b w:val="0"/>
          <w:bCs w:val="0"/>
          <w:color w:val="auto"/>
          <w:szCs w:val="21"/>
          <w:highlight w:val="none"/>
          <w:lang w:val="en-US" w:eastAsia="zh-CN"/>
        </w:rPr>
        <w:t>服务期为：自合同签订之日起两年；</w:t>
      </w:r>
    </w:p>
    <w:p w14:paraId="1985F41E">
      <w:pPr>
        <w:keepNext w:val="0"/>
        <w:keepLines w:val="0"/>
        <w:pageBreakBefore w:val="0"/>
        <w:widowControl/>
        <w:kinsoku/>
        <w:overflowPunct/>
        <w:topLinePunct w:val="0"/>
        <w:autoSpaceDE/>
        <w:autoSpaceDN/>
        <w:bidi w:val="0"/>
        <w:adjustRightInd w:val="0"/>
        <w:snapToGrid w:val="0"/>
        <w:spacing w:line="360" w:lineRule="auto"/>
        <w:ind w:left="413" w:hanging="413" w:hangingChars="19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第二条 服务范围及内容</w:t>
      </w:r>
    </w:p>
    <w:p w14:paraId="73FCF5B6">
      <w:pPr>
        <w:keepNext w:val="0"/>
        <w:keepLines w:val="0"/>
        <w:pageBreakBefore w:val="0"/>
        <w:widowControl/>
        <w:kinsoku/>
        <w:wordWrap w:val="0"/>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color w:val="auto"/>
          <w:szCs w:val="21"/>
          <w:highlight w:val="none"/>
          <w:u w:val="single"/>
        </w:rPr>
      </w:pPr>
      <w:r>
        <w:rPr>
          <w:rFonts w:hint="eastAsia" w:ascii="宋体" w:hAnsi="宋体" w:eastAsia="宋体" w:cs="宋体"/>
          <w:b/>
          <w:bCs/>
          <w:color w:val="auto"/>
          <w:szCs w:val="21"/>
          <w:highlight w:val="none"/>
        </w:rPr>
        <w:t>2.1服务范围：</w:t>
      </w:r>
      <w:r>
        <w:rPr>
          <w:rFonts w:hint="eastAsia" w:ascii="宋体" w:hAnsi="宋体" w:eastAsia="宋体" w:cs="宋体"/>
          <w:b/>
          <w:bCs/>
          <w:color w:val="auto"/>
          <w:szCs w:val="21"/>
          <w:highlight w:val="none"/>
          <w:u w:val="single"/>
        </w:rPr>
        <w:t xml:space="preserve">  </w:t>
      </w:r>
      <w:r>
        <w:rPr>
          <w:rFonts w:hint="eastAsia" w:ascii="宋体" w:hAnsi="宋体" w:eastAsia="宋体" w:cs="宋体"/>
          <w:b w:val="0"/>
          <w:bCs w:val="0"/>
          <w:color w:val="auto"/>
          <w:szCs w:val="21"/>
          <w:highlight w:val="none"/>
          <w:u w:val="single"/>
          <w:lang w:val="en-US" w:eastAsia="zh-CN"/>
        </w:rPr>
        <w:t>社区2026-2027年度造价咨询服务</w:t>
      </w:r>
      <w:r>
        <w:rPr>
          <w:rFonts w:hint="eastAsia" w:ascii="宋体" w:hAnsi="宋体" w:eastAsia="宋体" w:cs="宋体"/>
          <w:b w:val="0"/>
          <w:bCs w:val="0"/>
          <w:strike w:val="0"/>
          <w:dstrike w:val="0"/>
          <w:color w:val="auto"/>
          <w:szCs w:val="21"/>
          <w:highlight w:val="none"/>
          <w:u w:val="none"/>
          <w:shd w:val="clear" w:fill="auto"/>
          <w:lang w:val="en-US" w:eastAsia="zh-CN"/>
        </w:rPr>
        <w:t>项目</w:t>
      </w:r>
      <w:r>
        <w:rPr>
          <w:rFonts w:hint="eastAsia" w:ascii="宋体" w:hAnsi="宋体" w:eastAsia="宋体" w:cs="宋体"/>
          <w:b w:val="0"/>
          <w:bCs w:val="0"/>
          <w:color w:val="auto"/>
          <w:szCs w:val="21"/>
          <w:highlight w:val="none"/>
          <w:u w:val="single"/>
          <w:lang w:val="en-US" w:eastAsia="zh-CN"/>
        </w:rPr>
        <w:t>（含预算编制、结算审核等工作）；</w:t>
      </w:r>
      <w:r>
        <w:rPr>
          <w:rFonts w:hint="eastAsia" w:ascii="宋体" w:hAnsi="宋体" w:eastAsia="宋体" w:cs="宋体"/>
          <w:b/>
          <w:bCs/>
          <w:color w:val="auto"/>
          <w:szCs w:val="21"/>
          <w:highlight w:val="none"/>
          <w:u w:val="single"/>
        </w:rPr>
        <w:t xml:space="preserve"> </w:t>
      </w:r>
    </w:p>
    <w:p w14:paraId="0E6432D1">
      <w:pPr>
        <w:keepNext w:val="0"/>
        <w:keepLines w:val="0"/>
        <w:pageBreakBefore w:val="0"/>
        <w:widowControl/>
        <w:kinsoku/>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2.2服务内容:</w:t>
      </w:r>
    </w:p>
    <w:p w14:paraId="3E92D264">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根据甲方提供的</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、招标图纸、施工合同等资料，乙方完成以下工作内容：</w:t>
      </w:r>
    </w:p>
    <w:p w14:paraId="5C6C9D43">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2.2.1根据以上资料采用</w:t>
      </w:r>
      <w:r>
        <w:rPr>
          <w:rFonts w:hint="eastAsia" w:ascii="宋体" w:hAnsi="宋体" w:eastAsia="宋体" w:cs="宋体"/>
          <w:bCs/>
          <w:color w:val="auto"/>
          <w:szCs w:val="21"/>
          <w:highlight w:val="none"/>
          <w:u w:val="single"/>
        </w:rPr>
        <w:t>清单计价方式</w:t>
      </w:r>
      <w:r>
        <w:rPr>
          <w:rFonts w:hint="eastAsia" w:ascii="宋体" w:hAnsi="宋体" w:eastAsia="宋体" w:cs="宋体"/>
          <w:color w:val="auto"/>
          <w:szCs w:val="21"/>
          <w:highlight w:val="none"/>
        </w:rPr>
        <w:t>编制预算、结算；</w:t>
      </w:r>
    </w:p>
    <w:p w14:paraId="0B07CDA7">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2.2.2提供相关表格（见附表）及工程造价信息、资料的咨询服务。</w:t>
      </w:r>
    </w:p>
    <w:p w14:paraId="2FA2B33F">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2.2.3提交成果文件后，乙方须解答（书面解答应按甲方要求派项目组成员到甲方指定地点负责解答）。</w:t>
      </w:r>
    </w:p>
    <w:p w14:paraId="10379898">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2.2.4对于乙方出具的工程量及造价与最终确定的工程量及造价相比变动幅度超过5%的部分，乙方须以书面形式向甲方澄清说明变动原因。</w:t>
      </w:r>
    </w:p>
    <w:p w14:paraId="36DFF8B4">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r>
        <w:rPr>
          <w:rFonts w:hint="eastAsia" w:ascii="宋体" w:hAnsi="宋体" w:eastAsia="宋体" w:cs="宋体"/>
          <w:strike w:val="0"/>
          <w:dstrike w:val="0"/>
          <w:color w:val="auto"/>
          <w:szCs w:val="21"/>
          <w:highlight w:val="none"/>
          <w:u w:val="none"/>
          <w:shd w:val="clear" w:fill="auto"/>
        </w:rPr>
        <w:t>6</w:t>
      </w:r>
      <w:r>
        <w:rPr>
          <w:rFonts w:hint="eastAsia" w:ascii="宋体" w:hAnsi="宋体" w:eastAsia="宋体" w:cs="宋体"/>
          <w:color w:val="auto"/>
          <w:szCs w:val="21"/>
          <w:highlight w:val="none"/>
        </w:rPr>
        <w:t>对数地点：东莞市甲方办公室。对数期间所发生的差旅、食宿等一切费用由乙方承担。</w:t>
      </w:r>
    </w:p>
    <w:p w14:paraId="1FEEEB95">
      <w:pPr>
        <w:keepNext w:val="0"/>
        <w:keepLines w:val="0"/>
        <w:pageBreakBefore w:val="0"/>
        <w:widowControl/>
        <w:kinsoku/>
        <w:overflowPunct/>
        <w:topLinePunct w:val="0"/>
        <w:autoSpaceDE/>
        <w:autoSpaceDN/>
        <w:bidi w:val="0"/>
        <w:adjustRightInd w:val="0"/>
        <w:snapToGrid w:val="0"/>
        <w:spacing w:line="360" w:lineRule="auto"/>
        <w:ind w:left="-2" w:leftChars="-1"/>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第三条 咨询酬金</w:t>
      </w:r>
    </w:p>
    <w:p w14:paraId="71942E32">
      <w:pPr>
        <w:rPr>
          <w:rFonts w:hint="eastAsia" w:ascii="宋体" w:hAnsi="宋体" w:eastAsia="宋体" w:cs="宋体"/>
          <w:b w:val="0"/>
          <w:bCs w:val="0"/>
          <w:color w:val="auto"/>
          <w:szCs w:val="21"/>
          <w:highlight w:val="none"/>
          <w:lang w:val="en-US" w:eastAsia="zh-CN"/>
        </w:rPr>
      </w:pPr>
      <w:r>
        <w:rPr>
          <w:rFonts w:hint="eastAsia" w:ascii="宋体" w:hAnsi="宋体" w:eastAsia="宋体" w:cs="宋体"/>
          <w:color w:val="auto"/>
          <w:szCs w:val="21"/>
          <w:highlight w:val="none"/>
        </w:rPr>
        <w:t>3.1</w:t>
      </w:r>
      <w:r>
        <w:rPr>
          <w:rFonts w:hint="eastAsia" w:ascii="宋体" w:hAnsi="宋体" w:eastAsia="宋体" w:cs="宋体"/>
          <w:b w:val="0"/>
          <w:bCs w:val="0"/>
          <w:color w:val="auto"/>
          <w:szCs w:val="21"/>
          <w:highlight w:val="none"/>
          <w:lang w:val="en-US" w:eastAsia="zh-CN"/>
        </w:rPr>
        <w:t>本项目为</w:t>
      </w:r>
      <w:r>
        <w:rPr>
          <w:rFonts w:hint="eastAsia" w:ascii="宋体" w:hAnsi="宋体" w:cs="宋体"/>
          <w:b w:val="0"/>
          <w:bCs w:val="0"/>
          <w:color w:val="auto"/>
          <w:szCs w:val="21"/>
          <w:highlight w:val="none"/>
          <w:lang w:val="en-US" w:eastAsia="zh-CN"/>
        </w:rPr>
        <w:t>固定费率合同（属</w:t>
      </w:r>
      <w:r>
        <w:rPr>
          <w:rFonts w:hint="eastAsia" w:ascii="宋体" w:hAnsi="宋体" w:eastAsia="宋体" w:cs="宋体"/>
          <w:b w:val="0"/>
          <w:bCs w:val="0"/>
          <w:color w:val="auto"/>
          <w:szCs w:val="21"/>
          <w:highlight w:val="none"/>
          <w:lang w:val="en-US" w:eastAsia="zh-CN"/>
        </w:rPr>
        <w:t>资格采购，无具体预算金额</w:t>
      </w:r>
      <w:r>
        <w:rPr>
          <w:rFonts w:hint="eastAsia" w:ascii="宋体" w:hAnsi="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val="en-US" w:eastAsia="zh-CN"/>
        </w:rPr>
        <w:t>；</w:t>
      </w:r>
    </w:p>
    <w:p w14:paraId="1A56FFCA">
      <w:pPr>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3.2单项咨询服务费按</w:t>
      </w:r>
      <w:r>
        <w:rPr>
          <w:rFonts w:hint="eastAsia" w:ascii="宋体" w:hAnsi="宋体" w:cs="宋体"/>
          <w:b w:val="0"/>
          <w:bCs w:val="0"/>
          <w:color w:val="auto"/>
          <w:szCs w:val="21"/>
          <w:highlight w:val="none"/>
          <w:u w:val="single"/>
          <w:lang w:val="en-US" w:eastAsia="zh-CN"/>
        </w:rPr>
        <w:t>采购人复核确认的预（结）算金额为计算基础</w:t>
      </w:r>
      <w:r>
        <w:rPr>
          <w:rFonts w:hint="eastAsia" w:ascii="宋体" w:hAnsi="宋体" w:cs="宋体"/>
          <w:b w:val="0"/>
          <w:bCs w:val="0"/>
          <w:color w:val="auto"/>
          <w:szCs w:val="21"/>
          <w:highlight w:val="none"/>
          <w:lang w:val="en-US" w:eastAsia="zh-CN"/>
        </w:rPr>
        <w:t>，收费标准依照协议条款附件七《造价咨询服务收费项目和收费标准》的计算规则及备注说明执行，具体约定与计算方法如下：</w:t>
      </w:r>
    </w:p>
    <w:p w14:paraId="0AE369D6">
      <w:pPr>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1）单项造价咨询服务收费（即单项咨询项目服务酬金）=造价咨询服务收费标准×成交咨询服务收费系数；</w:t>
      </w:r>
    </w:p>
    <w:p w14:paraId="084CD602">
      <w:pPr>
        <w:keepNext w:val="0"/>
        <w:keepLines w:val="0"/>
        <w:pageBreakBefore w:val="0"/>
        <w:widowControl/>
        <w:kinsoku/>
        <w:overflowPunct/>
        <w:topLinePunct w:val="0"/>
        <w:autoSpaceDE/>
        <w:autoSpaceDN/>
        <w:bidi w:val="0"/>
        <w:adjustRightInd w:val="0"/>
        <w:snapToGrid w:val="0"/>
        <w:spacing w:line="360" w:lineRule="auto"/>
        <w:ind w:left="-2" w:leftChars="-1" w:firstLine="420" w:firstLineChars="200"/>
        <w:jc w:val="left"/>
        <w:textAlignment w:val="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lang w:val="en-US" w:eastAsia="zh-CN"/>
        </w:rPr>
        <w:t>2）成交咨询服务收费系数</w:t>
      </w:r>
      <w:r>
        <w:rPr>
          <w:rFonts w:hint="eastAsia" w:ascii="宋体" w:hAnsi="宋体" w:cs="宋体"/>
          <w:color w:val="auto"/>
          <w:szCs w:val="21"/>
          <w:highlight w:val="none"/>
          <w:u w:val="single"/>
          <w:lang w:val="en-US" w:eastAsia="zh-CN"/>
        </w:rPr>
        <w:t xml:space="preserve">     ；</w:t>
      </w:r>
    </w:p>
    <w:p w14:paraId="672BB524">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付款时乙方必须提供</w:t>
      </w:r>
      <w:r>
        <w:rPr>
          <w:rFonts w:hint="eastAsia" w:ascii="宋体" w:hAnsi="宋体" w:eastAsia="宋体" w:cs="宋体"/>
          <w:strike w:val="0"/>
          <w:dstrike w:val="0"/>
          <w:color w:val="auto"/>
          <w:szCs w:val="21"/>
          <w:highlight w:val="none"/>
          <w:u w:val="none"/>
          <w:shd w:val="clear" w:fill="auto"/>
        </w:rPr>
        <w:t>具有</w:t>
      </w:r>
      <w:r>
        <w:rPr>
          <w:rFonts w:hint="eastAsia" w:ascii="宋体" w:hAnsi="宋体" w:eastAsia="宋体" w:cs="宋体"/>
          <w:color w:val="auto"/>
          <w:szCs w:val="21"/>
          <w:highlight w:val="none"/>
        </w:rPr>
        <w:t>甲方</w:t>
      </w:r>
      <w:r>
        <w:rPr>
          <w:rFonts w:hint="eastAsia" w:ascii="宋体" w:hAnsi="宋体" w:eastAsia="宋体" w:cs="宋体"/>
          <w:strike w:val="0"/>
          <w:dstrike w:val="0"/>
          <w:color w:val="auto"/>
          <w:szCs w:val="21"/>
          <w:highlight w:val="none"/>
          <w:u w:val="none"/>
          <w:shd w:val="clear" w:fill="auto"/>
        </w:rPr>
        <w:t>抬头</w:t>
      </w:r>
      <w:r>
        <w:rPr>
          <w:rFonts w:hint="eastAsia" w:ascii="宋体" w:hAnsi="宋体" w:eastAsia="宋体" w:cs="宋体"/>
          <w:color w:val="auto"/>
          <w:szCs w:val="21"/>
          <w:highlight w:val="none"/>
        </w:rPr>
        <w:t>的等额有效的正式发票，未提供发票甲方可拒绝付款；若因乙方未按时提供有效发票导致付款延误，甲方不承担任何责任。</w:t>
      </w:r>
    </w:p>
    <w:p w14:paraId="2B7BF4B7">
      <w:pPr>
        <w:ind w:left="-2" w:leftChars="-1"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乙方开户名：</w:t>
      </w:r>
    </w:p>
    <w:p w14:paraId="2F99C4FB">
      <w:pPr>
        <w:ind w:left="-2" w:leftChars="-1"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收款账户：</w:t>
      </w:r>
    </w:p>
    <w:p w14:paraId="0EB01413">
      <w:pPr>
        <w:ind w:left="-2" w:leftChars="-1"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开户银行：</w:t>
      </w:r>
    </w:p>
    <w:p w14:paraId="49E3EC3C">
      <w:pPr>
        <w:keepNext w:val="0"/>
        <w:keepLines w:val="0"/>
        <w:pageBreakBefore w:val="0"/>
        <w:widowControl/>
        <w:kinsoku/>
        <w:overflowPunct/>
        <w:topLinePunct w:val="0"/>
        <w:autoSpaceDE/>
        <w:autoSpaceDN/>
        <w:bidi w:val="0"/>
        <w:adjustRightInd w:val="0"/>
        <w:snapToGrid w:val="0"/>
        <w:spacing w:line="360" w:lineRule="auto"/>
        <w:ind w:left="-2" w:leftChars="-1"/>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第四条 时间要求</w:t>
      </w:r>
    </w:p>
    <w:p w14:paraId="5D435131">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4.1乙方于收齐全套资料后，</w:t>
      </w:r>
      <w:r>
        <w:rPr>
          <w:rFonts w:hint="eastAsia" w:ascii="宋体" w:hAnsi="宋体" w:eastAsia="宋体" w:cs="宋体"/>
          <w:bCs/>
          <w:color w:val="auto"/>
          <w:szCs w:val="21"/>
          <w:highlight w:val="none"/>
          <w:u w:val="single"/>
        </w:rPr>
        <w:t>2个工作日</w:t>
      </w:r>
      <w:r>
        <w:rPr>
          <w:rFonts w:hint="eastAsia" w:ascii="宋体" w:hAnsi="宋体" w:eastAsia="宋体" w:cs="宋体"/>
          <w:color w:val="auto"/>
          <w:szCs w:val="21"/>
          <w:highlight w:val="none"/>
        </w:rPr>
        <w:t>内对资料的完整性提出意见。</w:t>
      </w:r>
      <w:r>
        <w:rPr>
          <w:rFonts w:hint="eastAsia" w:ascii="宋体" w:hAnsi="宋体" w:eastAsia="宋体" w:cs="宋体"/>
          <w:bCs/>
          <w:color w:val="auto"/>
          <w:szCs w:val="21"/>
          <w:highlight w:val="none"/>
          <w:u w:val="single"/>
        </w:rPr>
        <w:t>30个日历天内</w:t>
      </w:r>
      <w:r>
        <w:rPr>
          <w:rFonts w:hint="eastAsia" w:ascii="宋体" w:hAnsi="宋体" w:eastAsia="宋体" w:cs="宋体"/>
          <w:color w:val="auto"/>
          <w:szCs w:val="21"/>
          <w:highlight w:val="none"/>
        </w:rPr>
        <w:t>向甲方提交初步成果文件；</w:t>
      </w:r>
      <w:r>
        <w:rPr>
          <w:rFonts w:hint="eastAsia" w:ascii="宋体" w:hAnsi="宋体" w:eastAsia="宋体" w:cs="宋体"/>
          <w:bCs/>
          <w:color w:val="auto"/>
          <w:szCs w:val="21"/>
          <w:highlight w:val="none"/>
          <w:u w:val="single"/>
        </w:rPr>
        <w:t>35个日历天内</w:t>
      </w:r>
      <w:r>
        <w:rPr>
          <w:rFonts w:hint="eastAsia" w:ascii="宋体" w:hAnsi="宋体" w:eastAsia="宋体" w:cs="宋体"/>
          <w:color w:val="auto"/>
          <w:szCs w:val="21"/>
          <w:highlight w:val="none"/>
        </w:rPr>
        <w:t>向甲方提供正式成果文件。</w:t>
      </w:r>
    </w:p>
    <w:p w14:paraId="28C67DB2">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4.2乙方在接到对量的指令后，应在</w:t>
      </w:r>
      <w:r>
        <w:rPr>
          <w:rFonts w:hint="eastAsia" w:ascii="宋体" w:hAnsi="宋体" w:eastAsia="宋体" w:cs="宋体"/>
          <w:bCs/>
          <w:color w:val="auto"/>
          <w:szCs w:val="21"/>
          <w:highlight w:val="none"/>
          <w:u w:val="single"/>
        </w:rPr>
        <w:t>30日历天内</w:t>
      </w:r>
      <w:r>
        <w:rPr>
          <w:rFonts w:hint="eastAsia" w:ascii="宋体" w:hAnsi="宋体" w:eastAsia="宋体" w:cs="宋体"/>
          <w:color w:val="auto"/>
          <w:szCs w:val="21"/>
          <w:highlight w:val="none"/>
        </w:rPr>
        <w:t>完成对量工作，并形成双方共同签字确认的成果文件</w:t>
      </w:r>
      <w:r>
        <w:rPr>
          <w:rFonts w:hint="eastAsia" w:ascii="宋体" w:hAnsi="宋体" w:eastAsia="宋体" w:cs="宋体"/>
          <w:strike w:val="0"/>
          <w:dstrike w:val="0"/>
          <w:color w:val="auto"/>
          <w:szCs w:val="21"/>
          <w:highlight w:val="none"/>
          <w:u w:val="none"/>
          <w:shd w:val="clear" w:fill="auto"/>
        </w:rPr>
        <w:t>,</w:t>
      </w:r>
      <w:r>
        <w:rPr>
          <w:rFonts w:hint="eastAsia" w:ascii="宋体" w:hAnsi="宋体" w:eastAsia="宋体" w:cs="宋体"/>
          <w:color w:val="auto"/>
          <w:szCs w:val="21"/>
          <w:highlight w:val="none"/>
        </w:rPr>
        <w:t>非乙方原因延误的时间依次顺延。</w:t>
      </w:r>
    </w:p>
    <w:p w14:paraId="33BB3534">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4.3若因图纸设计质量原因影响乙方工作，乙方应立即书面通知甲方，若甲方在</w:t>
      </w:r>
      <w:r>
        <w:rPr>
          <w:rFonts w:hint="eastAsia" w:ascii="宋体" w:hAnsi="宋体" w:eastAsia="宋体" w:cs="宋体"/>
          <w:bCs/>
          <w:color w:val="auto"/>
          <w:szCs w:val="21"/>
          <w:highlight w:val="none"/>
          <w:u w:val="single"/>
        </w:rPr>
        <w:t>5个工作日</w:t>
      </w:r>
      <w:r>
        <w:rPr>
          <w:rFonts w:hint="eastAsia" w:ascii="宋体" w:hAnsi="宋体" w:eastAsia="宋体" w:cs="宋体"/>
          <w:color w:val="auto"/>
          <w:szCs w:val="21"/>
          <w:highlight w:val="none"/>
        </w:rPr>
        <w:t>内给予答复，</w:t>
      </w:r>
      <w:r>
        <w:rPr>
          <w:rFonts w:hint="eastAsia" w:ascii="宋体" w:hAnsi="宋体" w:eastAsia="宋体" w:cs="宋体"/>
          <w:strike w:val="0"/>
          <w:dstrike w:val="0"/>
          <w:color w:val="auto"/>
          <w:szCs w:val="21"/>
          <w:highlight w:val="none"/>
          <w:u w:val="none"/>
          <w:shd w:val="clear" w:fill="auto"/>
        </w:rPr>
        <w:t>则</w:t>
      </w:r>
      <w:r>
        <w:rPr>
          <w:rFonts w:hint="eastAsia" w:ascii="宋体" w:hAnsi="宋体" w:eastAsia="宋体" w:cs="宋体"/>
          <w:color w:val="auto"/>
          <w:szCs w:val="21"/>
          <w:highlight w:val="none"/>
        </w:rPr>
        <w:t>编制时间不予顺延。</w:t>
      </w:r>
    </w:p>
    <w:p w14:paraId="1124D1B1">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 如甲方暂无法提供编制范围内的全部图纸，但其提供的部分图纸已达到乙方进行局部工作的条件，乙方须进行相关工作，如果其余图纸在合理编制日期内提供，则编制日期不予顺延。</w:t>
      </w:r>
    </w:p>
    <w:p w14:paraId="6F7B766C">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4.5乙方未按合同条款、甲方的要求执行，或工作成果质量等达不到甲方的要求，乙方须及时进行整改、修正，直至符合甲方要求验收为止，且最后一次修正稿的提交日为乙方提交工作成果日。</w:t>
      </w:r>
    </w:p>
    <w:p w14:paraId="1CBC834E">
      <w:pPr>
        <w:keepNext w:val="0"/>
        <w:keepLines w:val="0"/>
        <w:pageBreakBefore w:val="0"/>
        <w:widowControl/>
        <w:kinsoku/>
        <w:overflowPunct/>
        <w:topLinePunct w:val="0"/>
        <w:autoSpaceDE/>
        <w:autoSpaceDN/>
        <w:bidi w:val="0"/>
        <w:adjustRightInd w:val="0"/>
        <w:snapToGrid w:val="0"/>
        <w:spacing w:line="360" w:lineRule="auto"/>
        <w:ind w:left="-2" w:leftChars="-1"/>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第五条 成果文件及质量要求</w:t>
      </w:r>
    </w:p>
    <w:p w14:paraId="34917513">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5.1成果文件（初步成果及最终成果）包含但不限于：</w:t>
      </w:r>
      <w:r>
        <w:rPr>
          <w:rFonts w:hint="eastAsia" w:ascii="宋体" w:hAnsi="宋体" w:eastAsia="宋体" w:cs="宋体"/>
          <w:bCs/>
          <w:color w:val="auto"/>
          <w:szCs w:val="21"/>
          <w:highlight w:val="none"/>
          <w:u w:val="single"/>
        </w:rPr>
        <w:t>纸质成果文件一式3份、电子光盘2份</w:t>
      </w:r>
      <w:r>
        <w:rPr>
          <w:rFonts w:hint="eastAsia" w:ascii="宋体" w:hAnsi="宋体" w:eastAsia="宋体" w:cs="宋体"/>
          <w:color w:val="auto"/>
          <w:szCs w:val="21"/>
          <w:highlight w:val="none"/>
        </w:rPr>
        <w:t>。纸质成果文件应包含施工图预算、经济指标分析报告、主要材料含量分析表（见附表）等；电子光盘应包含软件格式及</w:t>
      </w:r>
      <w:r>
        <w:rPr>
          <w:rFonts w:hint="eastAsia" w:ascii="宋体" w:hAnsi="宋体" w:eastAsia="宋体" w:cs="宋体"/>
          <w:strike w:val="0"/>
          <w:dstrike w:val="0"/>
          <w:color w:val="auto"/>
          <w:szCs w:val="21"/>
          <w:highlight w:val="none"/>
          <w:u w:val="none"/>
          <w:shd w:val="clear" w:fill="auto"/>
        </w:rPr>
        <w:t>e</w:t>
      </w:r>
      <w:r>
        <w:rPr>
          <w:rFonts w:hint="eastAsia" w:ascii="宋体" w:hAnsi="宋体" w:eastAsia="宋体" w:cs="宋体"/>
          <w:color w:val="auto"/>
          <w:szCs w:val="21"/>
          <w:highlight w:val="none"/>
        </w:rPr>
        <w:t>xcel格式的套价文件、软件格式及</w:t>
      </w:r>
      <w:r>
        <w:rPr>
          <w:rFonts w:hint="eastAsia" w:ascii="宋体" w:hAnsi="宋体" w:eastAsia="宋体" w:cs="宋体"/>
          <w:strike w:val="0"/>
          <w:dstrike w:val="0"/>
          <w:color w:val="auto"/>
          <w:szCs w:val="21"/>
          <w:highlight w:val="none"/>
          <w:u w:val="none"/>
          <w:shd w:val="clear" w:fill="auto"/>
        </w:rPr>
        <w:t>e</w:t>
      </w:r>
      <w:r>
        <w:rPr>
          <w:rFonts w:hint="eastAsia" w:ascii="宋体" w:hAnsi="宋体" w:eastAsia="宋体" w:cs="宋体"/>
          <w:color w:val="auto"/>
          <w:szCs w:val="21"/>
          <w:highlight w:val="none"/>
        </w:rPr>
        <w:t>xcel格式的算量文件，</w:t>
      </w:r>
      <w:r>
        <w:rPr>
          <w:rFonts w:hint="eastAsia" w:ascii="宋体" w:hAnsi="宋体" w:eastAsia="宋体" w:cs="宋体"/>
          <w:strike w:val="0"/>
          <w:dstrike w:val="0"/>
          <w:color w:val="auto"/>
          <w:szCs w:val="21"/>
          <w:highlight w:val="none"/>
          <w:u w:val="none"/>
          <w:shd w:val="clear" w:fill="auto"/>
        </w:rPr>
        <w:t>e</w:t>
      </w:r>
      <w:r>
        <w:rPr>
          <w:rFonts w:hint="eastAsia" w:ascii="宋体" w:hAnsi="宋体" w:eastAsia="宋体" w:cs="宋体"/>
          <w:color w:val="auto"/>
          <w:szCs w:val="21"/>
          <w:highlight w:val="none"/>
        </w:rPr>
        <w:t>xcel格式的零星工程量计算底稿等。本工程计价及算量采用软件为：</w:t>
      </w:r>
      <w:r>
        <w:rPr>
          <w:rFonts w:hint="eastAsia" w:ascii="宋体" w:hAnsi="宋体" w:eastAsia="宋体" w:cs="宋体"/>
          <w:bCs/>
          <w:color w:val="auto"/>
          <w:szCs w:val="21"/>
          <w:highlight w:val="none"/>
          <w:u w:val="single"/>
        </w:rPr>
        <w:t>广联达</w:t>
      </w:r>
      <w:r>
        <w:rPr>
          <w:rFonts w:hint="eastAsia" w:ascii="宋体" w:hAnsi="宋体" w:eastAsia="宋体" w:cs="宋体"/>
          <w:color w:val="auto"/>
          <w:szCs w:val="21"/>
          <w:highlight w:val="none"/>
        </w:rPr>
        <w:t>，如确需采用其它算量软件，需征得甲方的确认；</w:t>
      </w:r>
    </w:p>
    <w:p w14:paraId="462FADE3">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各专业的计价文件和工程量计算底稿必须按地下室、裙楼、塔楼、转换层（如有）分别编制，其中塔楼须按栋号分别编制，不能将各栋的工程量进行累加，必须依据各分部分项工程的特征、位置、结构形式、用途合理划分子目，不得将材料规格相同但结构形式、用途不一致的子目的工程量进行合并；工程量计算底稿必须分栋、分层、分部位、分轴线注明，便于甲方查验；乙方应自检自查以保证各栋相同规格品牌的材料价格保持一致；</w:t>
      </w:r>
    </w:p>
    <w:p w14:paraId="409B6294">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汇总表须分专业、室内外分别汇总，其中土建按地下室、地上、转换层（如有），并按栋号分别汇总；安装工程给排水、电气、消防等分别汇总；室外工程按室外电气、室外给排水、室外土建等分别汇总；甲方要求以独立费单独列项的应分别汇总；正式成果文件应打印工料机表，如分部分项工程以清单编制，还应打印子定额。</w:t>
      </w:r>
    </w:p>
    <w:p w14:paraId="711A814C">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5.4编制说明要内容全面、清楚，要包含工程概况、编制范围、编制依据，工程造价及指标说明等；</w:t>
      </w:r>
    </w:p>
    <w:p w14:paraId="1F36B74A">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5.5乙方提供的成果文件须经专业人员签字，并加盖项目负责人造价师执业印章、咨询单位公章及资质章；</w:t>
      </w:r>
    </w:p>
    <w:p w14:paraId="06CA85ED">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5.6乙方所提交的报告文件必须语句通顺、文字清晰整齐，数据准确，各相关数据必须吻合一致，且相互有明确的索引及标识；</w:t>
      </w:r>
    </w:p>
    <w:p w14:paraId="4532C8F5">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5.7在计价文件编制过程中，乙方必须尊重甲方的意见、解释及补充要求，甲方有权要求乙方对计价文件进行适当修改以便符合其要求；</w:t>
      </w:r>
    </w:p>
    <w:p w14:paraId="5AC7B1C7">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5.8 乙方提供的成果文件甲方采用比例抽查审核方式。在成果文件选择20%以上（含20%）（比例按建筑面积计算）进行比例抽查审核，并对抽查部分核减金额进行总核减金额换算。</w:t>
      </w:r>
    </w:p>
    <w:p w14:paraId="30C82FA8">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总核减金额换算公式：抽查部分核减金额</w:t>
      </w:r>
      <w:r>
        <w:rPr>
          <w:rFonts w:hint="eastAsia" w:ascii="宋体" w:hAnsi="宋体" w:eastAsia="宋体" w:cs="宋体"/>
          <w:strike w:val="0"/>
          <w:dstrike w:val="0"/>
          <w:color w:val="auto"/>
          <w:szCs w:val="21"/>
          <w:highlight w:val="none"/>
          <w:u w:val="none"/>
          <w:shd w:val="clear" w:fill="auto"/>
        </w:rPr>
        <w:t>*</w:t>
      </w:r>
      <w:r>
        <w:rPr>
          <w:rFonts w:hint="eastAsia" w:ascii="宋体" w:hAnsi="宋体" w:eastAsia="宋体" w:cs="宋体"/>
          <w:color w:val="auto"/>
          <w:szCs w:val="21"/>
          <w:highlight w:val="none"/>
        </w:rPr>
        <w:t>（1/抽查比例）</w:t>
      </w:r>
    </w:p>
    <w:p w14:paraId="19520895">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5.9乙方提供的成果文件总价误差应控制在2％以内，单个子目工程量误差应控制在3％以内；主要工程内容不应出现漏项等情况。</w:t>
      </w:r>
    </w:p>
    <w:p w14:paraId="32A64154">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5.10以上误差评判标准以甲、乙</w:t>
      </w:r>
      <w:r>
        <w:rPr>
          <w:rFonts w:hint="eastAsia" w:ascii="宋体" w:hAnsi="宋体" w:eastAsia="宋体" w:cs="宋体"/>
          <w:strike w:val="0"/>
          <w:dstrike w:val="0"/>
          <w:color w:val="auto"/>
          <w:szCs w:val="21"/>
          <w:highlight w:val="none"/>
          <w:u w:val="none"/>
          <w:shd w:val="clear" w:fill="auto"/>
        </w:rPr>
        <w:t>、</w:t>
      </w:r>
      <w:r>
        <w:rPr>
          <w:rFonts w:hint="eastAsia" w:ascii="宋体" w:hAnsi="宋体" w:eastAsia="宋体" w:cs="宋体"/>
          <w:color w:val="auto"/>
          <w:szCs w:val="21"/>
          <w:highlight w:val="none"/>
        </w:rPr>
        <w:t>承包商</w:t>
      </w:r>
      <w:r>
        <w:rPr>
          <w:rFonts w:hint="eastAsia" w:ascii="宋体" w:hAnsi="宋体" w:eastAsia="宋体" w:cs="宋体"/>
          <w:strike w:val="0"/>
          <w:dstrike w:val="0"/>
          <w:color w:val="auto"/>
          <w:szCs w:val="21"/>
          <w:highlight w:val="none"/>
          <w:u w:val="none"/>
          <w:shd w:val="clear" w:fill="auto"/>
        </w:rPr>
        <w:t>等第三方</w:t>
      </w:r>
      <w:r>
        <w:rPr>
          <w:rFonts w:hint="eastAsia" w:ascii="宋体" w:hAnsi="宋体" w:eastAsia="宋体" w:cs="宋体"/>
          <w:color w:val="auto"/>
          <w:szCs w:val="21"/>
          <w:highlight w:val="none"/>
        </w:rPr>
        <w:t>核对</w:t>
      </w:r>
      <w:r>
        <w:rPr>
          <w:rFonts w:hint="eastAsia" w:ascii="宋体" w:hAnsi="宋体" w:eastAsia="宋体" w:cs="宋体"/>
          <w:strike w:val="0"/>
          <w:dstrike w:val="0"/>
          <w:color w:val="auto"/>
          <w:szCs w:val="21"/>
          <w:highlight w:val="none"/>
          <w:u w:val="none"/>
          <w:shd w:val="clear" w:fill="auto"/>
        </w:rPr>
        <w:t>共同</w:t>
      </w:r>
      <w:r>
        <w:rPr>
          <w:rFonts w:hint="eastAsia" w:ascii="宋体" w:hAnsi="宋体" w:eastAsia="宋体" w:cs="宋体"/>
          <w:color w:val="auto"/>
          <w:szCs w:val="21"/>
          <w:highlight w:val="none"/>
        </w:rPr>
        <w:t>确认结果为准。</w:t>
      </w:r>
    </w:p>
    <w:p w14:paraId="5488538E">
      <w:pPr>
        <w:keepNext w:val="0"/>
        <w:keepLines w:val="0"/>
        <w:pageBreakBefore w:val="0"/>
        <w:widowControl/>
        <w:kinsoku/>
        <w:overflowPunct/>
        <w:topLinePunct w:val="0"/>
        <w:autoSpaceDE/>
        <w:autoSpaceDN/>
        <w:bidi w:val="0"/>
        <w:adjustRightInd w:val="0"/>
        <w:snapToGrid w:val="0"/>
        <w:spacing w:line="360" w:lineRule="auto"/>
        <w:ind w:left="-2" w:leftChars="-1"/>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第六条 质量保证措施</w:t>
      </w:r>
    </w:p>
    <w:p w14:paraId="7AF7A2CD">
      <w:pPr>
        <w:keepNext w:val="0"/>
        <w:keepLines w:val="0"/>
        <w:pageBreakBefore w:val="0"/>
        <w:widowControl/>
        <w:kinsoku/>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6.1如果在计算范围、口径一致的情况下，出现以上第5.</w:t>
      </w:r>
      <w:r>
        <w:rPr>
          <w:rFonts w:hint="eastAsia" w:ascii="宋体" w:hAnsi="宋体" w:eastAsia="宋体" w:cs="宋体"/>
          <w:b/>
          <w:strike w:val="0"/>
          <w:dstrike w:val="0"/>
          <w:color w:val="auto"/>
          <w:szCs w:val="21"/>
          <w:highlight w:val="none"/>
          <w:u w:val="none"/>
          <w:shd w:val="clear" w:fill="auto"/>
        </w:rPr>
        <w:t>8</w:t>
      </w:r>
      <w:r>
        <w:rPr>
          <w:rFonts w:hint="eastAsia" w:ascii="宋体" w:hAnsi="宋体" w:eastAsia="宋体" w:cs="宋体"/>
          <w:b/>
          <w:color w:val="auto"/>
          <w:szCs w:val="21"/>
          <w:highlight w:val="none"/>
        </w:rPr>
        <w:t>条约定总价误差超过2％</w:t>
      </w:r>
      <w:r>
        <w:rPr>
          <w:rFonts w:hint="eastAsia" w:ascii="宋体" w:hAnsi="宋体" w:eastAsia="宋体" w:cs="宋体"/>
          <w:color w:val="auto"/>
          <w:szCs w:val="21"/>
          <w:highlight w:val="none"/>
        </w:rPr>
        <w:t>(含2%)</w:t>
      </w:r>
      <w:r>
        <w:rPr>
          <w:rFonts w:hint="eastAsia" w:ascii="宋体" w:hAnsi="宋体" w:eastAsia="宋体" w:cs="宋体"/>
          <w:b/>
          <w:color w:val="auto"/>
          <w:szCs w:val="21"/>
          <w:highlight w:val="none"/>
        </w:rPr>
        <w:t>则视为成果质量不合格, 将遵循以下原则：</w:t>
      </w:r>
    </w:p>
    <w:p w14:paraId="0F635815">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6.1.1核减率在2%(含2%)～2.5%，扣罚本</w:t>
      </w:r>
      <w:r>
        <w:rPr>
          <w:rFonts w:hint="eastAsia" w:ascii="宋体" w:hAnsi="宋体" w:eastAsia="宋体" w:cs="宋体"/>
          <w:strike w:val="0"/>
          <w:dstrike w:val="0"/>
          <w:color w:val="auto"/>
          <w:szCs w:val="21"/>
          <w:highlight w:val="none"/>
          <w:u w:val="none"/>
          <w:shd w:val="clear" w:fill="auto"/>
        </w:rPr>
        <w:t>合同总价</w:t>
      </w:r>
      <w:r>
        <w:rPr>
          <w:rFonts w:hint="eastAsia" w:ascii="宋体" w:hAnsi="宋体" w:eastAsia="宋体" w:cs="宋体"/>
          <w:color w:val="auto"/>
          <w:szCs w:val="21"/>
          <w:highlight w:val="none"/>
        </w:rPr>
        <w:t>的20%；</w:t>
      </w:r>
    </w:p>
    <w:p w14:paraId="2EA26721">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6.1.2核减率在2.5%(含2.5%)~3%，扣罚本</w:t>
      </w:r>
      <w:r>
        <w:rPr>
          <w:rFonts w:hint="eastAsia" w:ascii="宋体" w:hAnsi="宋体" w:eastAsia="宋体" w:cs="宋体"/>
          <w:strike w:val="0"/>
          <w:dstrike w:val="0"/>
          <w:color w:val="auto"/>
          <w:szCs w:val="21"/>
          <w:highlight w:val="none"/>
          <w:u w:val="none"/>
          <w:shd w:val="clear" w:fill="auto"/>
        </w:rPr>
        <w:t>合同总价</w:t>
      </w:r>
      <w:r>
        <w:rPr>
          <w:rFonts w:hint="eastAsia" w:ascii="宋体" w:hAnsi="宋体" w:eastAsia="宋体" w:cs="宋体"/>
          <w:color w:val="auto"/>
          <w:szCs w:val="21"/>
          <w:highlight w:val="none"/>
        </w:rPr>
        <w:t>的30%；</w:t>
      </w:r>
    </w:p>
    <w:p w14:paraId="078DED78">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6.1.3核减率在3%(含3%)以上，扣罚本</w:t>
      </w:r>
      <w:r>
        <w:rPr>
          <w:rFonts w:hint="eastAsia" w:ascii="宋体" w:hAnsi="宋体" w:eastAsia="宋体" w:cs="宋体"/>
          <w:strike w:val="0"/>
          <w:dstrike w:val="0"/>
          <w:color w:val="auto"/>
          <w:szCs w:val="21"/>
          <w:highlight w:val="none"/>
          <w:u w:val="none"/>
          <w:shd w:val="clear" w:fill="auto"/>
        </w:rPr>
        <w:t>合同总价</w:t>
      </w:r>
      <w:r>
        <w:rPr>
          <w:rFonts w:hint="eastAsia" w:ascii="宋体" w:hAnsi="宋体" w:eastAsia="宋体" w:cs="宋体"/>
          <w:color w:val="auto"/>
          <w:szCs w:val="21"/>
          <w:highlight w:val="none"/>
        </w:rPr>
        <w:t>的50%；</w:t>
      </w:r>
    </w:p>
    <w:p w14:paraId="7E2C3B62">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本条扣罚按核减率所在最高区间扣罚，不拆分区间进行扣罚。</w:t>
      </w:r>
    </w:p>
    <w:p w14:paraId="2625C80E">
      <w:pPr>
        <w:keepNext w:val="0"/>
        <w:keepLines w:val="0"/>
        <w:pageBreakBefore w:val="0"/>
        <w:widowControl/>
        <w:kinsoku/>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6.2当核对结果出现以下业务过失，将遵循以下原则：</w:t>
      </w:r>
    </w:p>
    <w:p w14:paraId="6FF1C6E4">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6.2.1未按合同条款规定执行计量或计价，分为：</w:t>
      </w:r>
    </w:p>
    <w:p w14:paraId="03BF9C9E">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6.2.1.1超合同约定的承包范围计算，失误一次，扣罚本</w:t>
      </w:r>
      <w:r>
        <w:rPr>
          <w:rFonts w:hint="eastAsia" w:ascii="宋体" w:hAnsi="宋体" w:eastAsia="宋体" w:cs="宋体"/>
          <w:strike w:val="0"/>
          <w:dstrike w:val="0"/>
          <w:color w:val="auto"/>
          <w:szCs w:val="21"/>
          <w:highlight w:val="none"/>
          <w:u w:val="none"/>
          <w:shd w:val="clear" w:fill="auto"/>
        </w:rPr>
        <w:t>合同总价</w:t>
      </w:r>
      <w:r>
        <w:rPr>
          <w:rFonts w:hint="eastAsia" w:ascii="宋体" w:hAnsi="宋体" w:eastAsia="宋体" w:cs="宋体"/>
          <w:color w:val="auto"/>
          <w:szCs w:val="21"/>
          <w:highlight w:val="none"/>
        </w:rPr>
        <w:t>的10%；</w:t>
      </w:r>
    </w:p>
    <w:p w14:paraId="78CD8EE8">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6.2.1.2未按合同约定的计价方式进行计算，失误一次，扣罚本</w:t>
      </w:r>
      <w:r>
        <w:rPr>
          <w:rFonts w:hint="eastAsia" w:ascii="宋体" w:hAnsi="宋体" w:eastAsia="宋体" w:cs="宋体"/>
          <w:strike w:val="0"/>
          <w:dstrike w:val="0"/>
          <w:color w:val="auto"/>
          <w:szCs w:val="21"/>
          <w:highlight w:val="none"/>
          <w:u w:val="none"/>
          <w:shd w:val="clear" w:fill="auto"/>
        </w:rPr>
        <w:t>合同总价</w:t>
      </w:r>
      <w:r>
        <w:rPr>
          <w:rFonts w:hint="eastAsia" w:ascii="宋体" w:hAnsi="宋体" w:eastAsia="宋体" w:cs="宋体"/>
          <w:color w:val="auto"/>
          <w:szCs w:val="21"/>
          <w:highlight w:val="none"/>
        </w:rPr>
        <w:t>的10%；</w:t>
      </w:r>
    </w:p>
    <w:p w14:paraId="3EAD81EA">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6.2.1.3将甲分包工程的工程造价计入总包工程造价中，失误一次，扣罚本</w:t>
      </w:r>
      <w:r>
        <w:rPr>
          <w:rFonts w:hint="eastAsia" w:ascii="宋体" w:hAnsi="宋体" w:eastAsia="宋体" w:cs="宋体"/>
          <w:strike w:val="0"/>
          <w:dstrike w:val="0"/>
          <w:color w:val="auto"/>
          <w:szCs w:val="21"/>
          <w:highlight w:val="none"/>
          <w:u w:val="none"/>
          <w:shd w:val="clear" w:fill="auto"/>
        </w:rPr>
        <w:t>合同总价</w:t>
      </w:r>
      <w:r>
        <w:rPr>
          <w:rFonts w:hint="eastAsia" w:ascii="宋体" w:hAnsi="宋体" w:eastAsia="宋体" w:cs="宋体"/>
          <w:color w:val="auto"/>
          <w:szCs w:val="21"/>
          <w:highlight w:val="none"/>
        </w:rPr>
        <w:t>的10%；</w:t>
      </w:r>
    </w:p>
    <w:p w14:paraId="6077DDF7">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6.2.1.4将甲供材料的工程造价计入总包工程造价中，失误一次，扣罚本</w:t>
      </w:r>
      <w:r>
        <w:rPr>
          <w:rFonts w:hint="eastAsia" w:ascii="宋体" w:hAnsi="宋体" w:eastAsia="宋体" w:cs="宋体"/>
          <w:strike w:val="0"/>
          <w:dstrike w:val="0"/>
          <w:color w:val="auto"/>
          <w:szCs w:val="21"/>
          <w:highlight w:val="none"/>
          <w:u w:val="none"/>
          <w:shd w:val="clear" w:fill="auto"/>
        </w:rPr>
        <w:t>合同总价</w:t>
      </w:r>
      <w:r>
        <w:rPr>
          <w:rFonts w:hint="eastAsia" w:ascii="宋体" w:hAnsi="宋体" w:eastAsia="宋体" w:cs="宋体"/>
          <w:color w:val="auto"/>
          <w:szCs w:val="21"/>
          <w:highlight w:val="none"/>
        </w:rPr>
        <w:t>的10%；</w:t>
      </w:r>
    </w:p>
    <w:p w14:paraId="6F752B70">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6.2.1.5未按合同约定的下浮率进行下浮，失误一次，扣罚本</w:t>
      </w:r>
      <w:r>
        <w:rPr>
          <w:rFonts w:hint="eastAsia" w:ascii="宋体" w:hAnsi="宋体" w:eastAsia="宋体" w:cs="宋体"/>
          <w:strike w:val="0"/>
          <w:dstrike w:val="0"/>
          <w:color w:val="auto"/>
          <w:szCs w:val="21"/>
          <w:highlight w:val="none"/>
          <w:u w:val="none"/>
          <w:shd w:val="clear" w:fill="auto"/>
        </w:rPr>
        <w:t>合同总价</w:t>
      </w:r>
      <w:r>
        <w:rPr>
          <w:rFonts w:hint="eastAsia" w:ascii="宋体" w:hAnsi="宋体" w:eastAsia="宋体" w:cs="宋体"/>
          <w:color w:val="auto"/>
          <w:szCs w:val="21"/>
          <w:highlight w:val="none"/>
        </w:rPr>
        <w:t>的10%；</w:t>
      </w:r>
    </w:p>
    <w:p w14:paraId="3744FBE1">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6.2.2未按图纸做法进行套价，失误一次，扣罚本</w:t>
      </w:r>
      <w:r>
        <w:rPr>
          <w:rFonts w:hint="eastAsia" w:ascii="宋体" w:hAnsi="宋体" w:eastAsia="宋体" w:cs="宋体"/>
          <w:strike w:val="0"/>
          <w:dstrike w:val="0"/>
          <w:color w:val="auto"/>
          <w:szCs w:val="21"/>
          <w:highlight w:val="none"/>
          <w:u w:val="none"/>
          <w:shd w:val="clear" w:fill="auto"/>
        </w:rPr>
        <w:t>合同总价</w:t>
      </w:r>
      <w:r>
        <w:rPr>
          <w:rFonts w:hint="eastAsia" w:ascii="宋体" w:hAnsi="宋体" w:eastAsia="宋体" w:cs="宋体"/>
          <w:color w:val="auto"/>
          <w:szCs w:val="21"/>
          <w:highlight w:val="none"/>
        </w:rPr>
        <w:t>的10%；</w:t>
      </w:r>
    </w:p>
    <w:p w14:paraId="6FC892A0">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6.2.3数字小数点点错引起工程量或价格增加，失误一次，扣罚本</w:t>
      </w:r>
      <w:r>
        <w:rPr>
          <w:rFonts w:hint="eastAsia" w:ascii="宋体" w:hAnsi="宋体" w:eastAsia="宋体" w:cs="宋体"/>
          <w:strike w:val="0"/>
          <w:dstrike w:val="0"/>
          <w:color w:val="auto"/>
          <w:szCs w:val="21"/>
          <w:highlight w:val="none"/>
          <w:u w:val="none"/>
          <w:shd w:val="clear" w:fill="auto"/>
        </w:rPr>
        <w:t>合同总价</w:t>
      </w:r>
      <w:r>
        <w:rPr>
          <w:rFonts w:hint="eastAsia" w:ascii="宋体" w:hAnsi="宋体" w:eastAsia="宋体" w:cs="宋体"/>
          <w:color w:val="auto"/>
          <w:szCs w:val="21"/>
          <w:highlight w:val="none"/>
        </w:rPr>
        <w:t>的10%；</w:t>
      </w:r>
    </w:p>
    <w:p w14:paraId="54F58EA9">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6.2.4计量范围明显超算（如本工程20层，计算为21层），失误一次，扣罚本</w:t>
      </w:r>
      <w:r>
        <w:rPr>
          <w:rFonts w:hint="eastAsia" w:ascii="宋体" w:hAnsi="宋体" w:eastAsia="宋体" w:cs="宋体"/>
          <w:strike w:val="0"/>
          <w:dstrike w:val="0"/>
          <w:color w:val="auto"/>
          <w:szCs w:val="21"/>
          <w:highlight w:val="none"/>
          <w:u w:val="none"/>
          <w:shd w:val="clear" w:fill="auto"/>
        </w:rPr>
        <w:t>合同总价</w:t>
      </w:r>
      <w:r>
        <w:rPr>
          <w:rFonts w:hint="eastAsia" w:ascii="宋体" w:hAnsi="宋体" w:eastAsia="宋体" w:cs="宋体"/>
          <w:color w:val="auto"/>
          <w:szCs w:val="21"/>
          <w:highlight w:val="none"/>
        </w:rPr>
        <w:t>的10%；</w:t>
      </w:r>
    </w:p>
    <w:p w14:paraId="013D9F4C">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以上条款若在扣罚过程中发生重复扣罚，按第6.2条优先扣罚，核减总金额扣除业务过失部分核减金额后的金额再按照第6.1条进行扣罚。</w:t>
      </w:r>
    </w:p>
    <w:p w14:paraId="01D5A445">
      <w:pPr>
        <w:keepNext w:val="0"/>
        <w:keepLines w:val="0"/>
        <w:pageBreakBefore w:val="0"/>
        <w:widowControl/>
        <w:kinsoku/>
        <w:overflowPunct/>
        <w:topLinePunct w:val="0"/>
        <w:autoSpaceDE/>
        <w:autoSpaceDN/>
        <w:bidi w:val="0"/>
        <w:adjustRightInd w:val="0"/>
        <w:snapToGrid w:val="0"/>
        <w:spacing w:line="360" w:lineRule="auto"/>
        <w:ind w:left="413" w:hanging="413" w:hangingChars="19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第七条 编制依据</w:t>
      </w:r>
    </w:p>
    <w:p w14:paraId="73C9D4F2">
      <w:pPr>
        <w:keepNext w:val="0"/>
        <w:keepLines w:val="0"/>
        <w:pageBreakBefore w:val="0"/>
        <w:widowControl/>
        <w:kinsoku/>
        <w:overflowPunct/>
        <w:topLinePunct w:val="0"/>
        <w:autoSpaceDE/>
        <w:autoSpaceDN/>
        <w:bidi w:val="0"/>
        <w:adjustRightInd w:val="0"/>
        <w:snapToGrid w:val="0"/>
        <w:spacing w:line="360" w:lineRule="auto"/>
        <w:ind w:left="466" w:leftChars="22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7.1 </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、招标图纸、施工合同等与之相关文件。</w:t>
      </w:r>
    </w:p>
    <w:p w14:paraId="708029E4">
      <w:pPr>
        <w:keepNext w:val="0"/>
        <w:keepLines w:val="0"/>
        <w:pageBreakBefore w:val="0"/>
        <w:widowControl/>
        <w:kinsoku/>
        <w:overflowPunct/>
        <w:topLinePunct w:val="0"/>
        <w:autoSpaceDE/>
        <w:autoSpaceDN/>
        <w:bidi w:val="0"/>
        <w:adjustRightInd w:val="0"/>
        <w:snapToGrid w:val="0"/>
        <w:spacing w:line="360" w:lineRule="auto"/>
        <w:ind w:left="413" w:hanging="413" w:hangingChars="19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第八条 双方责任</w:t>
      </w:r>
    </w:p>
    <w:p w14:paraId="3BE6E643">
      <w:pPr>
        <w:keepNext w:val="0"/>
        <w:keepLines w:val="0"/>
        <w:pageBreakBefore w:val="0"/>
        <w:widowControl/>
        <w:kinsoku/>
        <w:overflowPunct/>
        <w:topLinePunct w:val="0"/>
        <w:autoSpaceDE/>
        <w:autoSpaceDN/>
        <w:bidi w:val="0"/>
        <w:adjustRightInd w:val="0"/>
        <w:snapToGrid w:val="0"/>
        <w:spacing w:line="360" w:lineRule="auto"/>
        <w:ind w:left="470" w:leftChars="22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 甲方责任</w:t>
      </w:r>
    </w:p>
    <w:p w14:paraId="7973AB11">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8.1.1及时向乙方提供工程项目所需图纸、相关资料。</w:t>
      </w:r>
    </w:p>
    <w:p w14:paraId="70421529">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8.1.2按双方约定支付乙方咨询服务费。</w:t>
      </w:r>
    </w:p>
    <w:p w14:paraId="4B1D581C">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8.1.3未经乙方同意，不得修改乙方的所有成果文件。</w:t>
      </w:r>
    </w:p>
    <w:p w14:paraId="219C89C6">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8.1.4在乙方工作期间密切配合，提供工作方便</w:t>
      </w:r>
      <w:r>
        <w:rPr>
          <w:rFonts w:hint="eastAsia" w:ascii="宋体" w:hAnsi="宋体" w:eastAsia="宋体" w:cs="宋体"/>
          <w:strike w:val="0"/>
          <w:dstrike w:val="0"/>
          <w:color w:val="auto"/>
          <w:szCs w:val="21"/>
          <w:highlight w:val="none"/>
          <w:u w:val="none"/>
          <w:shd w:val="clear" w:fill="auto"/>
        </w:rPr>
        <w:t>,</w:t>
      </w:r>
      <w:r>
        <w:rPr>
          <w:rFonts w:hint="eastAsia" w:ascii="宋体" w:hAnsi="宋体" w:eastAsia="宋体" w:cs="宋体"/>
          <w:color w:val="auto"/>
          <w:szCs w:val="21"/>
          <w:highlight w:val="none"/>
        </w:rPr>
        <w:t>甲方工作人员不得阻碍乙方以及乙方工作人员的正常工作。</w:t>
      </w:r>
    </w:p>
    <w:p w14:paraId="73C93D24">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8.1.5在咨询业务开展过程中，乙方根据经验对所提供的资料的真实性及其它问题提出书面疑问时，甲方应协助落实其真实与否，并在5个工作日内给予书面确认并回复乙方，若由于甲方未能及时明确或回复的，完成日期相应顺延。</w:t>
      </w:r>
    </w:p>
    <w:p w14:paraId="019E816D">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8.1.6甲方在工程量清单编制期间，有权到乙方工作地检查工作计划完成情况及完成质量情况。</w:t>
      </w:r>
    </w:p>
    <w:p w14:paraId="7AABA8B5">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  乙方责任</w:t>
      </w:r>
    </w:p>
    <w:p w14:paraId="60BC87BA">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8.2.1严格按照国家、</w:t>
      </w:r>
      <w:r>
        <w:rPr>
          <w:rFonts w:hint="eastAsia" w:ascii="宋体" w:hAnsi="宋体" w:eastAsia="宋体" w:cs="宋体"/>
          <w:color w:val="auto"/>
          <w:szCs w:val="21"/>
          <w:highlight w:val="none"/>
          <w:u w:val="single"/>
        </w:rPr>
        <w:t>广东</w:t>
      </w:r>
      <w:r>
        <w:rPr>
          <w:rFonts w:hint="eastAsia" w:ascii="宋体" w:hAnsi="宋体" w:eastAsia="宋体" w:cs="宋体"/>
          <w:color w:val="auto"/>
          <w:szCs w:val="21"/>
          <w:highlight w:val="none"/>
        </w:rPr>
        <w:t>省和有关文件规定，及时准确地进行计量及编制。</w:t>
      </w:r>
    </w:p>
    <w:p w14:paraId="118CA629">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8.2.2乙方对外提供的工作成果（含工程量计算底稿、工程量清单等相关书面文件及电子文件）的真实性、精确性、合理性、合法性负责，且做到文本资料条理清晰。</w:t>
      </w:r>
    </w:p>
    <w:p w14:paraId="4B704CAD">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8.2.3在各项目造价咨询工作中，咨询人委派的咨询人员必须固定。原则上不允许更换，如咨询人有特殊情况需更换咨询员，必须在更换</w:t>
      </w:r>
      <w:r>
        <w:rPr>
          <w:rFonts w:hint="eastAsia" w:ascii="宋体" w:hAnsi="宋体" w:eastAsia="宋体" w:cs="宋体"/>
          <w:strike w:val="0"/>
          <w:dstrike w:val="0"/>
          <w:color w:val="auto"/>
          <w:szCs w:val="21"/>
          <w:highlight w:val="none"/>
          <w:u w:val="none"/>
          <w:shd w:val="clear" w:fill="auto"/>
        </w:rPr>
        <w:t>以</w:t>
      </w:r>
      <w:r>
        <w:rPr>
          <w:rFonts w:hint="eastAsia" w:ascii="宋体" w:hAnsi="宋体" w:eastAsia="宋体" w:cs="宋体"/>
          <w:color w:val="auto"/>
          <w:szCs w:val="21"/>
          <w:highlight w:val="none"/>
        </w:rPr>
        <w:t>前书面通知甲方，并经甲方同意后方可更换。</w:t>
      </w:r>
    </w:p>
    <w:p w14:paraId="3123DB15">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8.2.4乙方须认真清点并保管好甲方提供的图纸及相关造价资料，工程量清单编制完成后，乙方须如数、原样归还甲方提供的全部造价资料。</w:t>
      </w:r>
    </w:p>
    <w:p w14:paraId="7F43F5A0">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8.2.5按本合同约定向甲方提供咨询成果文件并提交完整的工程造价咨询报告。</w:t>
      </w:r>
    </w:p>
    <w:p w14:paraId="04370DFD">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8.2.6甲方委托的业务</w:t>
      </w:r>
      <w:r>
        <w:rPr>
          <w:rFonts w:hint="eastAsia" w:ascii="宋体" w:hAnsi="宋体" w:eastAsia="宋体" w:cs="宋体"/>
          <w:strike w:val="0"/>
          <w:dstrike w:val="0"/>
          <w:color w:val="auto"/>
          <w:szCs w:val="21"/>
          <w:highlight w:val="none"/>
          <w:u w:val="none"/>
          <w:shd w:val="clear" w:fill="auto"/>
        </w:rPr>
        <w:t>乙方必须</w:t>
      </w:r>
      <w:r>
        <w:rPr>
          <w:rFonts w:hint="eastAsia" w:ascii="宋体" w:hAnsi="宋体" w:eastAsia="宋体" w:cs="宋体"/>
          <w:color w:val="auto"/>
          <w:szCs w:val="21"/>
          <w:highlight w:val="none"/>
        </w:rPr>
        <w:t>严格保密，不得向任何无关单位和人员透露有关经济文件、资料及数据。如乙方未遵守保密义务，擅自向第三方透露与本委托业务有关信息，经甲方委托相关政府法律部门查实并提供确切证据的，甲方有权终止合同，如造价咨询费用未支付甲方无需支付，如已支付乙方应在甲方终止合同后三日内退还已付全部款项，并且乙方还须赔偿因此给甲方带来的损失。</w:t>
      </w:r>
    </w:p>
    <w:p w14:paraId="3E643B56">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8.2.7乙方各项工作成果，经甲方审核，如发现工程量计算、套价项目等方面出现错误，乙方须在甲方指出问题后</w:t>
      </w:r>
      <w:r>
        <w:rPr>
          <w:rFonts w:hint="eastAsia" w:ascii="宋体" w:hAnsi="宋体" w:eastAsia="宋体" w:cs="宋体"/>
          <w:bCs/>
          <w:color w:val="auto"/>
          <w:szCs w:val="21"/>
          <w:highlight w:val="none"/>
          <w:u w:val="single"/>
        </w:rPr>
        <w:t>2个工作日内</w:t>
      </w:r>
      <w:r>
        <w:rPr>
          <w:rFonts w:hint="eastAsia" w:ascii="宋体" w:hAnsi="宋体" w:eastAsia="宋体" w:cs="宋体"/>
          <w:color w:val="auto"/>
          <w:szCs w:val="21"/>
          <w:highlight w:val="none"/>
        </w:rPr>
        <w:t>进行全面复核并提交修改后的工作结果。</w:t>
      </w:r>
    </w:p>
    <w:p w14:paraId="1C18349E">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8.2.8协助甲方解答投标单位投标文件中关于工程量清单部分的疑问。</w:t>
      </w:r>
    </w:p>
    <w:p w14:paraId="0420994A">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8.2.9乙方不得私自与参与本工程有利益关系的第三方接触。</w:t>
      </w:r>
    </w:p>
    <w:p w14:paraId="033904F2">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第九条 付款</w:t>
      </w:r>
      <w:r>
        <w:rPr>
          <w:rFonts w:hint="eastAsia" w:ascii="宋体" w:hAnsi="宋体" w:cs="宋体"/>
          <w:b/>
          <w:bCs/>
          <w:color w:val="auto"/>
          <w:szCs w:val="21"/>
          <w:highlight w:val="none"/>
          <w:lang w:val="en-US" w:eastAsia="zh-CN"/>
        </w:rPr>
        <w:t>及结算方式</w:t>
      </w:r>
    </w:p>
    <w:p w14:paraId="400C6B08">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9.1 </w:t>
      </w:r>
      <w:r>
        <w:rPr>
          <w:rFonts w:hint="eastAsia" w:ascii="宋体" w:hAnsi="宋体" w:cs="宋体"/>
          <w:color w:val="auto"/>
          <w:szCs w:val="21"/>
          <w:highlight w:val="none"/>
          <w:lang w:val="en-US" w:eastAsia="zh-CN"/>
        </w:rPr>
        <w:t>付款方式</w:t>
      </w:r>
    </w:p>
    <w:p w14:paraId="29CE4F2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9.1.1 </w:t>
      </w:r>
      <w:r>
        <w:rPr>
          <w:rFonts w:hint="eastAsia" w:ascii="宋体" w:hAnsi="宋体" w:cs="宋体"/>
          <w:color w:val="auto"/>
          <w:szCs w:val="21"/>
          <w:highlight w:val="none"/>
          <w:lang w:val="en-US" w:eastAsia="zh-CN"/>
        </w:rPr>
        <w:t>按单个委托事项进行计量并支付，</w:t>
      </w:r>
      <w:r>
        <w:rPr>
          <w:rFonts w:hint="eastAsia" w:ascii="宋体" w:hAnsi="宋体" w:eastAsia="宋体" w:cs="宋体"/>
          <w:color w:val="auto"/>
          <w:szCs w:val="21"/>
          <w:highlight w:val="none"/>
        </w:rPr>
        <w:t>乙方按合同约定提交</w:t>
      </w: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的初步成果文件，经甲方确认后30个日历天内，甲方支付</w:t>
      </w:r>
      <w:r>
        <w:rPr>
          <w:rFonts w:hint="eastAsia" w:ascii="宋体" w:hAnsi="宋体" w:cs="宋体"/>
          <w:color w:val="auto"/>
          <w:szCs w:val="21"/>
          <w:highlight w:val="none"/>
          <w:lang w:val="en-US" w:eastAsia="zh-CN"/>
        </w:rPr>
        <w:t>该项</w:t>
      </w:r>
      <w:r>
        <w:rPr>
          <w:rFonts w:hint="eastAsia" w:ascii="宋体" w:hAnsi="宋体" w:eastAsia="宋体" w:cs="宋体"/>
          <w:color w:val="auto"/>
          <w:szCs w:val="21"/>
          <w:highlight w:val="none"/>
        </w:rPr>
        <w:t>服务费的50%；提交最终成果文件，并经甲方确认后30个日历天内，甲方支付</w:t>
      </w:r>
      <w:r>
        <w:rPr>
          <w:rFonts w:hint="eastAsia" w:ascii="宋体" w:hAnsi="宋体" w:cs="宋体"/>
          <w:color w:val="auto"/>
          <w:szCs w:val="21"/>
          <w:highlight w:val="none"/>
          <w:lang w:val="en-US" w:eastAsia="zh-CN"/>
        </w:rPr>
        <w:t>至该项</w:t>
      </w:r>
      <w:r>
        <w:rPr>
          <w:rFonts w:hint="eastAsia" w:ascii="宋体" w:hAnsi="宋体" w:eastAsia="宋体" w:cs="宋体"/>
          <w:color w:val="auto"/>
          <w:szCs w:val="21"/>
          <w:highlight w:val="none"/>
        </w:rPr>
        <w:t>咨询服务费的</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0%；</w:t>
      </w:r>
    </w:p>
    <w:p w14:paraId="60C935F7">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 xml:space="preserve">1.2 </w:t>
      </w:r>
      <w:r>
        <w:rPr>
          <w:rFonts w:hint="eastAsia" w:ascii="宋体" w:hAnsi="宋体" w:cs="宋体"/>
          <w:color w:val="auto"/>
          <w:szCs w:val="21"/>
          <w:highlight w:val="none"/>
          <w:lang w:val="en-US" w:eastAsia="zh-CN"/>
        </w:rPr>
        <w:t>合同服务期结束后，</w:t>
      </w:r>
      <w:r>
        <w:rPr>
          <w:rFonts w:hint="eastAsia" w:ascii="宋体" w:hAnsi="宋体" w:eastAsia="宋体" w:cs="宋体"/>
          <w:color w:val="auto"/>
          <w:szCs w:val="21"/>
          <w:highlight w:val="none"/>
        </w:rPr>
        <w:t>乙方按合同约定9.</w:t>
      </w:r>
      <w:r>
        <w:rPr>
          <w:rFonts w:hint="eastAsia" w:ascii="宋体" w:hAnsi="宋体" w:eastAsia="宋体" w:cs="宋体"/>
          <w:color w:val="auto"/>
          <w:szCs w:val="21"/>
          <w:highlight w:val="none"/>
          <w:lang w:val="en-US" w:eastAsia="zh-CN"/>
        </w:rPr>
        <w:t xml:space="preserve">1.3 </w:t>
      </w:r>
      <w:r>
        <w:rPr>
          <w:rFonts w:hint="eastAsia" w:ascii="宋体" w:hAnsi="宋体" w:cs="宋体"/>
          <w:color w:val="auto"/>
          <w:szCs w:val="21"/>
          <w:highlight w:val="none"/>
          <w:lang w:val="en-US" w:eastAsia="zh-CN"/>
        </w:rPr>
        <w:t>办理</w:t>
      </w:r>
      <w:r>
        <w:rPr>
          <w:rFonts w:hint="eastAsia" w:ascii="宋体" w:hAnsi="宋体" w:eastAsia="宋体" w:cs="宋体"/>
          <w:color w:val="auto"/>
          <w:szCs w:val="21"/>
          <w:highlight w:val="none"/>
        </w:rPr>
        <w:t>结算后30个日历天内，甲方支付</w:t>
      </w:r>
      <w:r>
        <w:rPr>
          <w:rFonts w:hint="eastAsia" w:ascii="宋体" w:hAnsi="宋体" w:cs="宋体"/>
          <w:color w:val="auto"/>
          <w:szCs w:val="21"/>
          <w:highlight w:val="none"/>
          <w:lang w:val="en-US" w:eastAsia="zh-CN"/>
        </w:rPr>
        <w:t>至结算总价</w:t>
      </w:r>
      <w:r>
        <w:rPr>
          <w:rFonts w:hint="eastAsia" w:ascii="宋体" w:hAnsi="宋体" w:eastAsia="宋体" w:cs="宋体"/>
          <w:color w:val="auto"/>
          <w:szCs w:val="21"/>
          <w:highlight w:val="none"/>
        </w:rPr>
        <w:t>的100%。</w:t>
      </w:r>
    </w:p>
    <w:p w14:paraId="1FD047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9.2预算编制、预算审核费用：在项目合同履行期间，若乙方还未开始实际咨询工作时，甲方要求终止或解除合同的，甲方不向乙方支付咨询费用；若乙方已完成预算编制或预算审核工作，甲方要求终止或解除合同的，</w:t>
      </w:r>
      <w:r>
        <w:rPr>
          <w:rFonts w:hint="eastAsia" w:ascii="宋体" w:hAnsi="宋体" w:eastAsia="宋体" w:cs="宋体"/>
          <w:strike w:val="0"/>
          <w:dstrike w:val="0"/>
          <w:color w:val="auto"/>
          <w:szCs w:val="21"/>
          <w:highlight w:val="none"/>
          <w:u w:val="none"/>
          <w:shd w:val="clear" w:fill="auto"/>
          <w:lang w:val="en-US" w:eastAsia="zh-CN"/>
        </w:rPr>
        <w:t>乙</w:t>
      </w:r>
      <w:r>
        <w:rPr>
          <w:rFonts w:hint="eastAsia" w:ascii="宋体" w:hAnsi="宋体" w:eastAsia="宋体" w:cs="宋体"/>
          <w:color w:val="auto"/>
          <w:szCs w:val="21"/>
          <w:highlight w:val="none"/>
          <w:lang w:val="en-US" w:eastAsia="zh-CN"/>
        </w:rPr>
        <w:t>方</w:t>
      </w:r>
      <w:r>
        <w:rPr>
          <w:rFonts w:hint="eastAsia" w:ascii="宋体" w:hAnsi="宋体" w:eastAsia="宋体" w:cs="宋体"/>
          <w:strike w:val="0"/>
          <w:dstrike w:val="0"/>
          <w:color w:val="auto"/>
          <w:szCs w:val="21"/>
          <w:highlight w:val="none"/>
          <w:u w:val="none"/>
          <w:shd w:val="clear" w:fill="auto"/>
          <w:lang w:val="en-US" w:eastAsia="zh-CN"/>
        </w:rPr>
        <w:t>以预算单位编制结果或审定结果为基数，</w:t>
      </w:r>
      <w:r>
        <w:rPr>
          <w:rFonts w:hint="eastAsia" w:ascii="宋体" w:hAnsi="宋体" w:eastAsia="宋体" w:cs="宋体"/>
          <w:color w:val="auto"/>
          <w:szCs w:val="21"/>
          <w:highlight w:val="none"/>
          <w:lang w:val="en-US" w:eastAsia="zh-CN"/>
        </w:rPr>
        <w:t>按应付合同价的50%支付补偿。</w:t>
      </w:r>
    </w:p>
    <w:p w14:paraId="466DFBD8">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9.3在单项工程造价咨询服务过程中，如因建设标准、项目完整性等原因造成设计图纸修改，致使工程造价需要重新修改和确定，双方协商修改工作时限，一般情况下，不另外计算其他任何费用。如设计图纸发生重大修改，甲方经审查同意可以酌情给予适当经济补偿。</w:t>
      </w:r>
      <w:r>
        <w:rPr>
          <w:rFonts w:hint="eastAsia" w:ascii="宋体" w:hAnsi="宋体" w:eastAsia="宋体" w:cs="宋体"/>
          <w:color w:val="auto"/>
          <w:szCs w:val="21"/>
          <w:highlight w:val="none"/>
        </w:rPr>
        <w:t>　</w:t>
      </w:r>
    </w:p>
    <w:p w14:paraId="611EE45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9.4乙方在进行结算审核工作时，须进行现场查勘，并须对合同承包方是否存在偷工减料、不按图施工情况进行现场核实，必要时可申请第三方检测单位进行现场核查，费用由</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lang w:val="en-US" w:eastAsia="zh-CN"/>
        </w:rPr>
        <w:t>支付。对于核实存在偷工减料、不按图施工情况的，将以该偷工减料、不按图施工部分对应结算核减金额的10%作为乙方效益收费。</w:t>
      </w:r>
    </w:p>
    <w:p w14:paraId="008743A9">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如合同承包方存在偷工减料、不按图施工情况，但乙方未发现该问题并未对合同结算额进行如实扣减的，则乙方须退回该合同项目下所有关于偷工减料、不按图施工情况的效益收费，并直接</w:t>
      </w:r>
      <w:r>
        <w:rPr>
          <w:rFonts w:hint="eastAsia" w:ascii="宋体" w:hAnsi="宋体" w:eastAsia="宋体" w:cs="宋体"/>
          <w:strike w:val="0"/>
          <w:dstrike w:val="0"/>
          <w:color w:val="auto"/>
          <w:szCs w:val="21"/>
          <w:highlight w:val="none"/>
          <w:u w:val="none"/>
          <w:shd w:val="clear" w:fill="auto"/>
          <w:lang w:val="en-US" w:eastAsia="zh-CN"/>
        </w:rPr>
        <w:t>对该</w:t>
      </w:r>
      <w:r>
        <w:rPr>
          <w:rFonts w:hint="eastAsia" w:ascii="宋体" w:hAnsi="宋体" w:eastAsia="宋体" w:cs="宋体"/>
          <w:color w:val="auto"/>
          <w:szCs w:val="21"/>
          <w:highlight w:val="none"/>
          <w:lang w:val="en-US" w:eastAsia="zh-CN"/>
        </w:rPr>
        <w:t>乙方</w:t>
      </w:r>
      <w:r>
        <w:rPr>
          <w:rFonts w:hint="eastAsia" w:ascii="宋体" w:hAnsi="宋体" w:eastAsia="宋体" w:cs="宋体"/>
          <w:strike w:val="0"/>
          <w:dstrike w:val="0"/>
          <w:color w:val="auto"/>
          <w:szCs w:val="21"/>
          <w:highlight w:val="none"/>
          <w:u w:val="none"/>
          <w:shd w:val="clear" w:fill="auto"/>
          <w:lang w:val="en-US" w:eastAsia="zh-CN"/>
        </w:rPr>
        <w:t>进行</w:t>
      </w:r>
      <w:r>
        <w:rPr>
          <w:rFonts w:hint="eastAsia" w:ascii="宋体" w:hAnsi="宋体" w:eastAsia="宋体" w:cs="宋体"/>
          <w:color w:val="auto"/>
          <w:szCs w:val="21"/>
          <w:highlight w:val="none"/>
          <w:lang w:val="en-US" w:eastAsia="zh-CN"/>
        </w:rPr>
        <w:t>出库</w:t>
      </w:r>
      <w:r>
        <w:rPr>
          <w:rFonts w:hint="eastAsia" w:ascii="宋体" w:hAnsi="宋体" w:eastAsia="宋体" w:cs="宋体"/>
          <w:strike w:val="0"/>
          <w:dstrike w:val="0"/>
          <w:color w:val="auto"/>
          <w:szCs w:val="21"/>
          <w:highlight w:val="none"/>
          <w:u w:val="none"/>
          <w:shd w:val="clear" w:fill="auto"/>
          <w:lang w:val="en-US" w:eastAsia="zh-CN"/>
        </w:rPr>
        <w:t>处理</w:t>
      </w:r>
      <w:r>
        <w:rPr>
          <w:rFonts w:hint="eastAsia" w:ascii="宋体" w:hAnsi="宋体" w:eastAsia="宋体" w:cs="宋体"/>
          <w:color w:val="auto"/>
          <w:szCs w:val="21"/>
          <w:highlight w:val="none"/>
          <w:lang w:val="en-US" w:eastAsia="zh-CN"/>
        </w:rPr>
        <w:t>。</w:t>
      </w:r>
    </w:p>
    <w:p w14:paraId="39C352CA">
      <w:pPr>
        <w:keepNext w:val="0"/>
        <w:keepLines w:val="0"/>
        <w:pageBreakBefore w:val="0"/>
        <w:widowControl/>
        <w:kinsoku/>
        <w:overflowPunct/>
        <w:topLinePunct w:val="0"/>
        <w:autoSpaceDE/>
        <w:autoSpaceDN/>
        <w:bidi w:val="0"/>
        <w:adjustRightInd w:val="0"/>
        <w:snapToGrid w:val="0"/>
        <w:spacing w:line="360" w:lineRule="auto"/>
        <w:ind w:left="59" w:leftChars="28"/>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第十条 违约责任</w:t>
      </w:r>
    </w:p>
    <w:p w14:paraId="5031907B">
      <w:pPr>
        <w:keepNext w:val="0"/>
        <w:keepLines w:val="0"/>
        <w:pageBreakBefore w:val="0"/>
        <w:widowControl/>
        <w:kinsoku/>
        <w:overflowPunct/>
        <w:topLinePunct w:val="0"/>
        <w:autoSpaceDE/>
        <w:autoSpaceDN/>
        <w:bidi w:val="0"/>
        <w:adjustRightInd w:val="0"/>
        <w:snapToGrid w:val="0"/>
        <w:spacing w:line="360" w:lineRule="auto"/>
        <w:ind w:left="59" w:leftChars="28" w:firstLine="411"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甲方违约责任：</w:t>
      </w:r>
    </w:p>
    <w:p w14:paraId="2953E4CD">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10.1.1甲方不能按约定时间提供施工图纸、相关资料或对乙方问题进行书面答复的，由此</w:t>
      </w:r>
      <w:r>
        <w:rPr>
          <w:rFonts w:hint="eastAsia" w:ascii="宋体" w:hAnsi="宋体" w:eastAsia="宋体" w:cs="宋体"/>
          <w:strike w:val="0"/>
          <w:dstrike w:val="0"/>
          <w:color w:val="auto"/>
          <w:szCs w:val="21"/>
          <w:highlight w:val="none"/>
          <w:u w:val="none"/>
          <w:shd w:val="clear" w:fill="auto"/>
        </w:rPr>
        <w:t>，</w:t>
      </w:r>
      <w:r>
        <w:rPr>
          <w:rFonts w:hint="eastAsia" w:ascii="宋体" w:hAnsi="宋体" w:eastAsia="宋体" w:cs="宋体"/>
          <w:color w:val="auto"/>
          <w:szCs w:val="21"/>
          <w:highlight w:val="none"/>
        </w:rPr>
        <w:t>造成时间延长的由甲方负责，完成时间顺延。</w:t>
      </w:r>
    </w:p>
    <w:p w14:paraId="28EB82ED">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 乙方违约责任</w:t>
      </w:r>
    </w:p>
    <w:p w14:paraId="4260F9B0">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10.2.1因乙方原因未按规定时间完成甲方委托的业务，每延长1 个日历天，甲方按人民币1000元扣除咨询服务费；延长时间累计达到</w:t>
      </w:r>
      <w:r>
        <w:rPr>
          <w:rFonts w:hint="eastAsia" w:ascii="宋体" w:hAnsi="宋体" w:eastAsia="宋体" w:cs="宋体"/>
          <w:color w:val="auto"/>
          <w:szCs w:val="21"/>
          <w:highlight w:val="none"/>
          <w:u w:val="single"/>
        </w:rPr>
        <w:t>10个日历天</w:t>
      </w:r>
      <w:r>
        <w:rPr>
          <w:rFonts w:hint="eastAsia" w:ascii="宋体" w:hAnsi="宋体" w:eastAsia="宋体" w:cs="宋体"/>
          <w:color w:val="auto"/>
          <w:szCs w:val="21"/>
          <w:highlight w:val="none"/>
        </w:rPr>
        <w:t>，甲方有权解除合同，且乙方需向甲方支付违约金</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rPr>
        <w:t>0000元</w:t>
      </w:r>
      <w:r>
        <w:rPr>
          <w:rFonts w:hint="eastAsia" w:ascii="宋体" w:hAnsi="宋体" w:eastAsia="宋体" w:cs="宋体"/>
          <w:color w:val="auto"/>
          <w:szCs w:val="21"/>
          <w:highlight w:val="none"/>
        </w:rPr>
        <w:t>。如非乙方原因延误完成时间的，则完成日期顺延。</w:t>
      </w:r>
    </w:p>
    <w:p w14:paraId="7565AC54">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10.2.2因乙方原因导致成果文件有严重错误，并造成甲方经济损失的，经甲方委托</w:t>
      </w:r>
      <w:permStart w:id="0" w:edGrp="everyone"/>
      <w:r>
        <w:rPr>
          <w:rFonts w:hint="eastAsia" w:ascii="宋体" w:hAnsi="宋体" w:eastAsia="宋体" w:cs="宋体"/>
          <w:color w:val="auto"/>
          <w:szCs w:val="21"/>
          <w:highlight w:val="none"/>
          <w:u w:val="single"/>
        </w:rPr>
        <w:t>东莞</w:t>
      </w:r>
      <w:r>
        <w:rPr>
          <w:rFonts w:hint="eastAsia" w:ascii="宋体" w:hAnsi="宋体" w:eastAsia="宋体" w:cs="宋体"/>
          <w:strike w:val="0"/>
          <w:dstrike w:val="0"/>
          <w:color w:val="auto"/>
          <w:szCs w:val="21"/>
          <w:highlight w:val="none"/>
          <w:u w:val="none"/>
          <w:shd w:val="clear" w:fill="auto"/>
        </w:rPr>
        <w:t xml:space="preserve"> </w:t>
      </w:r>
      <w:permEnd w:id="0"/>
      <w:r>
        <w:rPr>
          <w:rFonts w:hint="eastAsia" w:ascii="宋体" w:hAnsi="宋体" w:eastAsia="宋体" w:cs="宋体"/>
          <w:color w:val="auto"/>
          <w:szCs w:val="21"/>
          <w:highlight w:val="none"/>
        </w:rPr>
        <w:t>市造价管理部门或仲裁机关认定属实，乙方应承担赔偿责任，最高赔偿金额不超过本合同咨询服务费总额。</w:t>
      </w:r>
    </w:p>
    <w:p w14:paraId="577B9620">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10.2.3乙方在工作期间出现受贿、索贿等情况的，经相关政府部门确认属实的，乙方承担法律责任，并赔偿因此给甲方造成的损失。</w:t>
      </w:r>
    </w:p>
    <w:p w14:paraId="38A81BB0">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 以上所有违约金、赔偿金和其它扣减金额不重复计算，且违约金、赔偿金和其它扣减金额的支付总额度不超过本合同咨询服务费的总额。</w:t>
      </w:r>
    </w:p>
    <w:p w14:paraId="1C22FFDB">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第十一条 合同组成文件</w:t>
      </w:r>
    </w:p>
    <w:p w14:paraId="5282E67B">
      <w:pPr>
        <w:keepNext w:val="0"/>
        <w:keepLines w:val="0"/>
        <w:pageBreakBefore w:val="0"/>
        <w:widowControl/>
        <w:kinsoku/>
        <w:overflowPunct/>
        <w:topLinePunct w:val="0"/>
        <w:autoSpaceDE/>
        <w:autoSpaceDN/>
        <w:bidi w:val="0"/>
        <w:adjustRightInd w:val="0"/>
        <w:snapToGrid w:val="0"/>
        <w:spacing w:line="360" w:lineRule="auto"/>
        <w:ind w:left="199" w:leftChars="95" w:firstLine="210" w:firstLineChars="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本合同文件及附件。</w:t>
      </w:r>
    </w:p>
    <w:p w14:paraId="6678AAA6">
      <w:pPr>
        <w:keepNext w:val="0"/>
        <w:keepLines w:val="0"/>
        <w:pageBreakBefore w:val="0"/>
        <w:widowControl/>
        <w:kinsoku/>
        <w:overflowPunct/>
        <w:topLinePunct w:val="0"/>
        <w:autoSpaceDE/>
        <w:autoSpaceDN/>
        <w:bidi w:val="0"/>
        <w:adjustRightInd w:val="0"/>
        <w:snapToGrid w:val="0"/>
        <w:spacing w:line="360" w:lineRule="auto"/>
        <w:ind w:left="199" w:leftChars="95" w:firstLine="210" w:firstLineChars="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11.2合同执行过程中双方往来的书面文件等。</w:t>
      </w:r>
    </w:p>
    <w:p w14:paraId="13742D77">
      <w:pPr>
        <w:keepNext w:val="0"/>
        <w:keepLines w:val="0"/>
        <w:pageBreakBefore w:val="0"/>
        <w:widowControl/>
        <w:tabs>
          <w:tab w:val="left" w:pos="2340"/>
        </w:tabs>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w:t>
      </w:r>
      <w:r>
        <w:rPr>
          <w:rFonts w:hint="eastAsia" w:ascii="宋体" w:hAnsi="宋体" w:eastAsia="宋体" w:cs="宋体"/>
          <w:b/>
          <w:bCs/>
          <w:color w:val="auto"/>
          <w:sz w:val="22"/>
          <w:szCs w:val="22"/>
          <w:highlight w:val="none"/>
          <w:lang w:val="en-US" w:eastAsia="zh-CN"/>
        </w:rPr>
        <w:t>十二</w:t>
      </w:r>
      <w:r>
        <w:rPr>
          <w:rFonts w:hint="eastAsia" w:ascii="宋体" w:hAnsi="宋体" w:eastAsia="宋体" w:cs="宋体"/>
          <w:b/>
          <w:bCs/>
          <w:color w:val="auto"/>
          <w:sz w:val="22"/>
          <w:szCs w:val="22"/>
          <w:highlight w:val="none"/>
        </w:rPr>
        <w:t>条  合同文件的优先次序</w:t>
      </w:r>
    </w:p>
    <w:p w14:paraId="6EBE9003">
      <w:pPr>
        <w:keepNext w:val="0"/>
        <w:keepLines w:val="0"/>
        <w:pageBreakBefore w:val="0"/>
        <w:widowControl/>
        <w:tabs>
          <w:tab w:val="left" w:pos="2160"/>
        </w:tabs>
        <w:kinsoku/>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构成本合同的文件可视为是能互相说明的，如果合同文件存在歧义或不一致，则根据如下优先次序来判断：</w:t>
      </w:r>
    </w:p>
    <w:p w14:paraId="1EAACA20">
      <w:pPr>
        <w:keepNext w:val="0"/>
        <w:keepLines w:val="0"/>
        <w:pageBreakBefore w:val="0"/>
        <w:widowControl/>
        <w:tabs>
          <w:tab w:val="left" w:pos="2160"/>
        </w:tabs>
        <w:kinsoku/>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 xml:space="preserve">.1 </w:t>
      </w:r>
      <w:r>
        <w:rPr>
          <w:rFonts w:hint="eastAsia" w:ascii="宋体" w:hAnsi="宋体" w:eastAsia="宋体" w:cs="宋体"/>
          <w:color w:val="auto"/>
          <w:sz w:val="22"/>
          <w:szCs w:val="22"/>
          <w:highlight w:val="none"/>
          <w:lang w:val="en-US" w:eastAsia="zh-CN"/>
        </w:rPr>
        <w:t>本</w:t>
      </w:r>
      <w:r>
        <w:rPr>
          <w:rFonts w:hint="eastAsia" w:ascii="宋体" w:hAnsi="宋体" w:eastAsia="宋体" w:cs="宋体"/>
          <w:color w:val="auto"/>
          <w:sz w:val="22"/>
          <w:szCs w:val="22"/>
          <w:highlight w:val="none"/>
        </w:rPr>
        <w:t>合同书</w:t>
      </w:r>
    </w:p>
    <w:p w14:paraId="3CBE3C7E">
      <w:pPr>
        <w:keepNext w:val="0"/>
        <w:keepLines w:val="0"/>
        <w:pageBreakBefore w:val="0"/>
        <w:widowControl/>
        <w:tabs>
          <w:tab w:val="left" w:pos="2160"/>
        </w:tabs>
        <w:kinsoku/>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12.2</w:t>
      </w:r>
      <w:r>
        <w:rPr>
          <w:rFonts w:hint="eastAsia" w:ascii="宋体" w:hAnsi="宋体" w:eastAsia="宋体" w:cs="宋体"/>
          <w:color w:val="auto"/>
          <w:sz w:val="22"/>
          <w:szCs w:val="22"/>
          <w:highlight w:val="none"/>
        </w:rPr>
        <w:t>本合同履行过程中双方以书面形式签署的补充和修正文件</w:t>
      </w:r>
      <w:r>
        <w:rPr>
          <w:rFonts w:hint="eastAsia" w:ascii="宋体" w:hAnsi="宋体" w:eastAsia="宋体" w:cs="宋体"/>
          <w:color w:val="auto"/>
          <w:sz w:val="22"/>
          <w:szCs w:val="22"/>
          <w:highlight w:val="none"/>
          <w:lang w:eastAsia="zh-CN"/>
        </w:rPr>
        <w:t>。</w:t>
      </w:r>
    </w:p>
    <w:p w14:paraId="7BF02BA2">
      <w:pPr>
        <w:keepNext w:val="0"/>
        <w:keepLines w:val="0"/>
        <w:pageBreakBefore w:val="0"/>
        <w:widowControl/>
        <w:tabs>
          <w:tab w:val="left" w:pos="2160"/>
        </w:tabs>
        <w:kinsoku/>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 中标函(文件)</w:t>
      </w:r>
    </w:p>
    <w:p w14:paraId="736684BF">
      <w:pPr>
        <w:keepNext w:val="0"/>
        <w:keepLines w:val="0"/>
        <w:pageBreakBefore w:val="0"/>
        <w:widowControl/>
        <w:tabs>
          <w:tab w:val="left" w:pos="2160"/>
        </w:tabs>
        <w:kinsoku/>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工程造价咨询</w:t>
      </w:r>
      <w:r>
        <w:rPr>
          <w:rFonts w:hint="eastAsia" w:ascii="宋体" w:hAnsi="宋体" w:eastAsia="宋体" w:cs="宋体"/>
          <w:color w:val="auto"/>
          <w:sz w:val="22"/>
          <w:szCs w:val="22"/>
          <w:highlight w:val="none"/>
          <w:lang w:eastAsia="zh-CN"/>
        </w:rPr>
        <w:t>采购文件</w:t>
      </w:r>
    </w:p>
    <w:p w14:paraId="62697972">
      <w:pPr>
        <w:keepNext w:val="0"/>
        <w:keepLines w:val="0"/>
        <w:pageBreakBefore w:val="0"/>
        <w:widowControl/>
        <w:tabs>
          <w:tab w:val="left" w:pos="2160"/>
        </w:tabs>
        <w:kinsoku/>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发包人要求及委托书</w:t>
      </w:r>
    </w:p>
    <w:p w14:paraId="3B1F9CDF">
      <w:pPr>
        <w:keepNext w:val="0"/>
        <w:keepLines w:val="0"/>
        <w:pageBreakBefore w:val="0"/>
        <w:widowControl/>
        <w:tabs>
          <w:tab w:val="left" w:pos="2160"/>
        </w:tabs>
        <w:kinsoku/>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投标文件</w:t>
      </w:r>
    </w:p>
    <w:p w14:paraId="5D3AF2A6">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第十</w:t>
      </w:r>
      <w:r>
        <w:rPr>
          <w:rFonts w:hint="eastAsia" w:ascii="宋体" w:hAnsi="宋体" w:eastAsia="宋体" w:cs="宋体"/>
          <w:b/>
          <w:bCs/>
          <w:color w:val="auto"/>
          <w:szCs w:val="21"/>
          <w:highlight w:val="none"/>
          <w:lang w:val="en-US" w:eastAsia="zh-CN"/>
        </w:rPr>
        <w:t>三</w:t>
      </w:r>
      <w:r>
        <w:rPr>
          <w:rFonts w:hint="eastAsia" w:ascii="宋体" w:hAnsi="宋体" w:eastAsia="宋体" w:cs="宋体"/>
          <w:b/>
          <w:bCs/>
          <w:color w:val="auto"/>
          <w:szCs w:val="21"/>
          <w:highlight w:val="none"/>
        </w:rPr>
        <w:t>条 </w:t>
      </w:r>
    </w:p>
    <w:p w14:paraId="0B88EBA7">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乙方在提供工程造价咨询服务期间，不得接受本项目承包单位的请吃、送礼或其他好处，不得向甲方工作人员提供请吃、送礼、旅游、行贿、给予回扣或其他好处。否则，乙方违反前列情形之一，将承担本</w:t>
      </w:r>
      <w:r>
        <w:rPr>
          <w:rFonts w:hint="eastAsia" w:ascii="宋体" w:hAnsi="宋体" w:cs="宋体"/>
          <w:color w:val="auto"/>
          <w:szCs w:val="21"/>
          <w:highlight w:val="none"/>
          <w:lang w:val="en-US" w:eastAsia="zh-CN"/>
        </w:rPr>
        <w:t>单项咨询酬金</w:t>
      </w:r>
      <w:r>
        <w:rPr>
          <w:rFonts w:hint="eastAsia" w:ascii="宋体" w:hAnsi="宋体" w:eastAsia="宋体" w:cs="宋体"/>
          <w:color w:val="auto"/>
          <w:szCs w:val="21"/>
          <w:highlight w:val="none"/>
        </w:rPr>
        <w:t>总价</w:t>
      </w:r>
      <w:r>
        <w:rPr>
          <w:rFonts w:hint="eastAsia" w:ascii="宋体" w:hAnsi="宋体" w:eastAsia="宋体" w:cs="宋体"/>
          <w:strike w:val="0"/>
          <w:dstrike w:val="0"/>
          <w:color w:val="auto"/>
          <w:szCs w:val="21"/>
          <w:highlight w:val="none"/>
          <w:u w:val="none"/>
          <w:shd w:val="clear" w:fill="auto"/>
        </w:rPr>
        <w:t>的</w:t>
      </w:r>
      <w:r>
        <w:rPr>
          <w:rFonts w:hint="eastAsia" w:ascii="宋体" w:hAnsi="宋体" w:eastAsia="宋体" w:cs="宋体"/>
          <w:bCs/>
          <w:color w:val="auto"/>
          <w:szCs w:val="21"/>
          <w:highlight w:val="none"/>
          <w:u w:val="single"/>
        </w:rPr>
        <w:t>10%</w:t>
      </w:r>
      <w:r>
        <w:rPr>
          <w:rFonts w:hint="eastAsia" w:ascii="宋体" w:hAnsi="宋体" w:eastAsia="宋体" w:cs="宋体"/>
          <w:bCs/>
          <w:color w:val="auto"/>
          <w:szCs w:val="21"/>
          <w:highlight w:val="none"/>
        </w:rPr>
        <w:t>的</w:t>
      </w:r>
      <w:r>
        <w:rPr>
          <w:rFonts w:hint="eastAsia" w:ascii="宋体" w:hAnsi="宋体" w:eastAsia="宋体" w:cs="宋体"/>
          <w:color w:val="auto"/>
          <w:szCs w:val="21"/>
          <w:highlight w:val="none"/>
        </w:rPr>
        <w:t>违约金，造成损失的，应予全部赔偿，最高赔偿金额不超过本合同咨询服务费总额。</w:t>
      </w:r>
    </w:p>
    <w:p w14:paraId="14BCEC0E">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第十</w:t>
      </w: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rPr>
        <w:t>条 </w:t>
      </w:r>
    </w:p>
    <w:p w14:paraId="01209657">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.1本合同未尽事宜按建设部、</w:t>
      </w:r>
      <w:r>
        <w:rPr>
          <w:rFonts w:hint="eastAsia" w:ascii="宋体" w:hAnsi="宋体" w:eastAsia="宋体" w:cs="宋体"/>
          <w:color w:val="auto"/>
          <w:szCs w:val="21"/>
          <w:highlight w:val="none"/>
          <w:u w:val="single"/>
        </w:rPr>
        <w:t>广东</w:t>
      </w:r>
      <w:r>
        <w:rPr>
          <w:rFonts w:hint="eastAsia" w:ascii="宋体" w:hAnsi="宋体" w:eastAsia="宋体" w:cs="宋体"/>
          <w:color w:val="auto"/>
          <w:szCs w:val="21"/>
          <w:highlight w:val="none"/>
        </w:rPr>
        <w:t>省建委和</w:t>
      </w:r>
      <w:r>
        <w:rPr>
          <w:rFonts w:hint="eastAsia" w:ascii="宋体" w:hAnsi="宋体" w:eastAsia="宋体" w:cs="宋体"/>
          <w:color w:val="auto"/>
          <w:szCs w:val="21"/>
          <w:highlight w:val="none"/>
          <w:u w:val="single"/>
        </w:rPr>
        <w:t>东莞</w:t>
      </w:r>
      <w:r>
        <w:rPr>
          <w:rFonts w:hint="eastAsia" w:ascii="宋体" w:hAnsi="宋体" w:eastAsia="宋体" w:cs="宋体"/>
          <w:color w:val="auto"/>
          <w:szCs w:val="21"/>
          <w:highlight w:val="none"/>
        </w:rPr>
        <w:t>市建设局有关规定，双方协商解决，并另行签订补充协议。补充协议与本合同具有同等法律效力。</w:t>
      </w:r>
    </w:p>
    <w:p w14:paraId="70C2D3DC">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第十</w:t>
      </w:r>
      <w:r>
        <w:rPr>
          <w:rFonts w:hint="eastAsia" w:ascii="宋体" w:hAnsi="宋体" w:eastAsia="宋体" w:cs="宋体"/>
          <w:b/>
          <w:bCs/>
          <w:color w:val="auto"/>
          <w:szCs w:val="21"/>
          <w:highlight w:val="none"/>
          <w:lang w:val="en-US" w:eastAsia="zh-CN"/>
        </w:rPr>
        <w:t>五</w:t>
      </w:r>
      <w:r>
        <w:rPr>
          <w:rFonts w:hint="eastAsia" w:ascii="宋体" w:hAnsi="宋体" w:eastAsia="宋体" w:cs="宋体"/>
          <w:b/>
          <w:bCs/>
          <w:color w:val="auto"/>
          <w:szCs w:val="21"/>
          <w:highlight w:val="none"/>
        </w:rPr>
        <w:t>条 </w:t>
      </w:r>
    </w:p>
    <w:p w14:paraId="4BA56517">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合同履行过程中，双方须本着互相理解互相支持的原则，及时沟通配合；若</w:t>
      </w:r>
      <w:r>
        <w:rPr>
          <w:rFonts w:hint="eastAsia" w:ascii="宋体" w:hAnsi="宋体" w:eastAsia="宋体" w:cs="宋体"/>
          <w:strike w:val="0"/>
          <w:dstrike w:val="0"/>
          <w:color w:val="auto"/>
          <w:szCs w:val="21"/>
          <w:highlight w:val="none"/>
          <w:u w:val="none"/>
          <w:shd w:val="clear" w:fill="auto"/>
        </w:rPr>
        <w:t>有</w:t>
      </w:r>
      <w:r>
        <w:rPr>
          <w:rFonts w:hint="eastAsia" w:ascii="宋体" w:hAnsi="宋体" w:eastAsia="宋体" w:cs="宋体"/>
          <w:color w:val="auto"/>
          <w:szCs w:val="21"/>
          <w:highlight w:val="none"/>
        </w:rPr>
        <w:t>产生纠纷，须友好协商解决；若协商解决不成时，均可向</w:t>
      </w:r>
      <w:r>
        <w:rPr>
          <w:rFonts w:hint="eastAsia" w:ascii="宋体" w:hAnsi="宋体" w:eastAsia="宋体" w:cs="宋体"/>
          <w:color w:val="auto"/>
          <w:highlight w:val="none"/>
          <w:u w:val="single"/>
          <w:lang w:val="en-US" w:eastAsia="zh-CN"/>
        </w:rPr>
        <w:t>甲方所在地人民法院</w:t>
      </w:r>
      <w:r>
        <w:rPr>
          <w:rFonts w:hint="eastAsia" w:ascii="宋体" w:hAnsi="宋体" w:eastAsia="宋体" w:cs="宋体"/>
          <w:color w:val="auto"/>
          <w:szCs w:val="21"/>
          <w:highlight w:val="none"/>
        </w:rPr>
        <w:t>提起</w:t>
      </w:r>
      <w:r>
        <w:rPr>
          <w:rFonts w:hint="eastAsia" w:ascii="宋体" w:hAnsi="宋体" w:eastAsia="宋体" w:cs="宋体"/>
          <w:strike w:val="0"/>
          <w:dstrike w:val="0"/>
          <w:color w:val="auto"/>
          <w:szCs w:val="21"/>
          <w:highlight w:val="none"/>
          <w:u w:val="none"/>
          <w:shd w:val="clear" w:fill="auto"/>
        </w:rPr>
        <w:t>起</w:t>
      </w:r>
      <w:r>
        <w:rPr>
          <w:rFonts w:hint="eastAsia" w:ascii="宋体" w:hAnsi="宋体" w:eastAsia="宋体" w:cs="宋体"/>
          <w:color w:val="auto"/>
          <w:szCs w:val="21"/>
          <w:highlight w:val="none"/>
        </w:rPr>
        <w:t>诉</w:t>
      </w:r>
      <w:r>
        <w:rPr>
          <w:rFonts w:hint="eastAsia" w:ascii="宋体" w:hAnsi="宋体" w:eastAsia="宋体" w:cs="宋体"/>
          <w:strike w:val="0"/>
          <w:dstrike w:val="0"/>
          <w:color w:val="auto"/>
          <w:szCs w:val="21"/>
          <w:highlight w:val="none"/>
          <w:u w:val="none"/>
          <w:shd w:val="clear" w:fill="auto"/>
        </w:rPr>
        <w:t>进行裁决</w:t>
      </w:r>
      <w:r>
        <w:rPr>
          <w:rFonts w:hint="eastAsia" w:ascii="宋体" w:hAnsi="宋体" w:eastAsia="宋体" w:cs="宋体"/>
          <w:color w:val="auto"/>
          <w:szCs w:val="21"/>
          <w:highlight w:val="none"/>
        </w:rPr>
        <w:t>。</w:t>
      </w:r>
      <w:r>
        <w:rPr>
          <w:rFonts w:hint="eastAsia" w:ascii="宋体" w:hAnsi="宋体" w:eastAsia="宋体" w:cs="宋体"/>
          <w:color w:val="auto"/>
          <w:highlight w:val="none"/>
          <w:lang w:val="en-US" w:eastAsia="zh-CN"/>
        </w:rPr>
        <w:t>守约方为解决争议所支出的诉讼费、保全费、执行费、保险费、担保费、律师费等费用由违约方承担。</w:t>
      </w:r>
    </w:p>
    <w:p w14:paraId="17DE2CA1">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第十</w:t>
      </w: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条 </w:t>
      </w:r>
      <w:r>
        <w:rPr>
          <w:rFonts w:hint="eastAsia" w:ascii="宋体" w:hAnsi="宋体" w:eastAsia="宋体" w:cs="宋体"/>
          <w:b/>
          <w:bCs/>
          <w:strike w:val="0"/>
          <w:dstrike w:val="0"/>
          <w:color w:val="auto"/>
          <w:szCs w:val="21"/>
          <w:highlight w:val="none"/>
          <w:u w:val="none"/>
          <w:shd w:val="clear" w:fill="auto"/>
        </w:rPr>
        <w:t> </w:t>
      </w:r>
    </w:p>
    <w:p w14:paraId="559D6369">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本合同自双方签订之日起生效。本合同壹式</w:t>
      </w:r>
      <w:r>
        <w:rPr>
          <w:rFonts w:hint="eastAsia" w:ascii="宋体" w:hAnsi="宋体" w:eastAsia="宋体" w:cs="宋体"/>
          <w:bCs/>
          <w:color w:val="auto"/>
          <w:szCs w:val="21"/>
          <w:highlight w:val="none"/>
          <w:u w:val="single"/>
        </w:rPr>
        <w:t>陆</w:t>
      </w:r>
      <w:r>
        <w:rPr>
          <w:rFonts w:hint="eastAsia" w:ascii="宋体" w:hAnsi="宋体" w:eastAsia="宋体" w:cs="宋体"/>
          <w:color w:val="auto"/>
          <w:szCs w:val="21"/>
          <w:highlight w:val="none"/>
        </w:rPr>
        <w:t>份，甲方执</w:t>
      </w:r>
      <w:r>
        <w:rPr>
          <w:rFonts w:hint="eastAsia" w:ascii="宋体" w:hAnsi="宋体" w:eastAsia="宋体" w:cs="宋体"/>
          <w:bCs/>
          <w:color w:val="auto"/>
          <w:szCs w:val="21"/>
          <w:highlight w:val="none"/>
          <w:u w:val="single"/>
        </w:rPr>
        <w:t>肆</w:t>
      </w:r>
      <w:r>
        <w:rPr>
          <w:rFonts w:hint="eastAsia" w:ascii="宋体" w:hAnsi="宋体" w:eastAsia="宋体" w:cs="宋体"/>
          <w:color w:val="auto"/>
          <w:szCs w:val="21"/>
          <w:highlight w:val="none"/>
        </w:rPr>
        <w:t>份，乙方执</w:t>
      </w:r>
      <w:r>
        <w:rPr>
          <w:rFonts w:hint="eastAsia" w:ascii="宋体" w:hAnsi="宋体" w:eastAsia="宋体" w:cs="宋体"/>
          <w:bCs/>
          <w:color w:val="auto"/>
          <w:szCs w:val="21"/>
          <w:highlight w:val="none"/>
          <w:u w:val="single"/>
        </w:rPr>
        <w:t>贰</w:t>
      </w:r>
      <w:r>
        <w:rPr>
          <w:rFonts w:hint="eastAsia" w:ascii="宋体" w:hAnsi="宋体" w:eastAsia="宋体" w:cs="宋体"/>
          <w:color w:val="auto"/>
          <w:szCs w:val="21"/>
          <w:highlight w:val="none"/>
        </w:rPr>
        <w:t>份，具同等法律效力。</w:t>
      </w:r>
    </w:p>
    <w:p w14:paraId="5CB364EA">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附件1：《阳光合作</w:t>
      </w:r>
      <w:r>
        <w:rPr>
          <w:rFonts w:hint="eastAsia" w:ascii="宋体" w:hAnsi="宋体" w:cs="宋体"/>
          <w:color w:val="auto"/>
          <w:szCs w:val="21"/>
          <w:highlight w:val="none"/>
          <w:lang w:val="en-US" w:eastAsia="zh-CN"/>
        </w:rPr>
        <w:t>告知函</w:t>
      </w:r>
      <w:r>
        <w:rPr>
          <w:rFonts w:hint="eastAsia" w:ascii="宋体" w:hAnsi="宋体" w:eastAsia="宋体" w:cs="宋体"/>
          <w:color w:val="auto"/>
          <w:szCs w:val="21"/>
          <w:highlight w:val="none"/>
        </w:rPr>
        <w:t>》</w:t>
      </w:r>
    </w:p>
    <w:p w14:paraId="315D5541">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附件2：《项目保密承诺书》</w:t>
      </w:r>
    </w:p>
    <w:p w14:paraId="1DF2EFB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附件3：《投入本合同下</w:t>
      </w:r>
      <w:r>
        <w:rPr>
          <w:rFonts w:hint="eastAsia" w:ascii="宋体" w:hAnsi="宋体" w:eastAsia="宋体" w:cs="宋体"/>
          <w:bCs/>
          <w:color w:val="auto"/>
          <w:szCs w:val="21"/>
          <w:highlight w:val="none"/>
        </w:rPr>
        <w:t>项目服务人员配置一览表》</w:t>
      </w:r>
    </w:p>
    <w:p w14:paraId="51619B1B">
      <w:pPr>
        <w:keepNext w:val="0"/>
        <w:keepLines w:val="0"/>
        <w:pageBreakBefore w:val="0"/>
        <w:widowControl/>
        <w:kinsoku/>
        <w:overflowPunct/>
        <w:topLinePunct w:val="0"/>
        <w:autoSpaceDE/>
        <w:autoSpaceDN/>
        <w:bidi w:val="0"/>
        <w:adjustRightInd w:val="0"/>
        <w:snapToGrid w:val="0"/>
        <w:spacing w:line="360" w:lineRule="auto"/>
        <w:ind w:left="4513" w:leftChars="-1" w:hanging="4515" w:hangingChars="2150"/>
        <w:jc w:val="left"/>
        <w:textAlignment w:val="auto"/>
        <w:rPr>
          <w:rFonts w:hint="eastAsia" w:ascii="宋体" w:hAnsi="宋体" w:eastAsia="宋体" w:cs="宋体"/>
          <w:color w:val="auto"/>
          <w:szCs w:val="21"/>
          <w:highlight w:val="none"/>
        </w:rPr>
      </w:pPr>
    </w:p>
    <w:p w14:paraId="783938F2">
      <w:pPr>
        <w:keepNext w:val="0"/>
        <w:keepLines w:val="0"/>
        <w:pageBreakBefore w:val="0"/>
        <w:widowControl/>
        <w:kinsoku/>
        <w:overflowPunct/>
        <w:topLinePunct w:val="0"/>
        <w:autoSpaceDE/>
        <w:autoSpaceDN/>
        <w:bidi w:val="0"/>
        <w:adjustRightInd w:val="0"/>
        <w:snapToGrid w:val="0"/>
        <w:spacing w:line="360" w:lineRule="auto"/>
        <w:ind w:left="4513" w:leftChars="-1" w:hanging="4515" w:hangingChars="215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                                  乙方： </w:t>
      </w:r>
    </w:p>
    <w:p w14:paraId="235688FB">
      <w:pPr>
        <w:keepNext w:val="0"/>
        <w:keepLines w:val="0"/>
        <w:pageBreakBefore w:val="0"/>
        <w:widowControl/>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p>
    <w:p w14:paraId="5E6AFE53">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                            法定代表人：</w:t>
      </w:r>
    </w:p>
    <w:p w14:paraId="0E1A32FE">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Cs w:val="21"/>
          <w:highlight w:val="none"/>
        </w:rPr>
      </w:pPr>
    </w:p>
    <w:p w14:paraId="50DFB425">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合同订立时间：   年   月   日</w:t>
      </w:r>
    </w:p>
    <w:p w14:paraId="2525481A">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Cs w:val="21"/>
          <w:highlight w:val="none"/>
        </w:rPr>
      </w:pPr>
    </w:p>
    <w:p w14:paraId="19A4BE09">
      <w:pPr>
        <w:pStyle w:val="22"/>
        <w:keepNext w:val="0"/>
        <w:keepLines w:val="0"/>
        <w:pageBreakBefore w:val="0"/>
        <w:widowControl/>
        <w:kinsoku/>
        <w:overflowPunct/>
        <w:topLinePunct w:val="0"/>
        <w:autoSpaceDE/>
        <w:autoSpaceDN/>
        <w:bidi w:val="0"/>
        <w:adjustRightInd w:val="0"/>
        <w:snapToGrid w:val="0"/>
        <w:spacing w:line="360" w:lineRule="auto"/>
        <w:textAlignment w:val="auto"/>
        <w:rPr>
          <w:color w:val="auto"/>
          <w:highlight w:val="none"/>
        </w:rPr>
      </w:pPr>
      <w:r>
        <w:rPr>
          <w:rFonts w:hint="eastAsia" w:ascii="宋体" w:hAnsi="宋体" w:eastAsia="宋体" w:cs="宋体"/>
          <w:color w:val="auto"/>
          <w:szCs w:val="21"/>
          <w:highlight w:val="none"/>
        </w:rPr>
        <w:t>合同签订地点：东莞市</w:t>
      </w:r>
    </w:p>
    <w:p w14:paraId="3B42A7C3">
      <w:pPr>
        <w:pStyle w:val="22"/>
        <w:rPr>
          <w:color w:val="auto"/>
          <w:highlight w:val="none"/>
        </w:rPr>
      </w:pPr>
    </w:p>
    <w:p w14:paraId="6A2906BF">
      <w:pPr>
        <w:rPr>
          <w:color w:val="auto"/>
          <w:highlight w:val="none"/>
        </w:rPr>
      </w:pPr>
      <w:r>
        <w:rPr>
          <w:color w:val="auto"/>
          <w:highlight w:val="none"/>
        </w:rPr>
        <w:br w:type="page"/>
      </w:r>
    </w:p>
    <w:p w14:paraId="3A3F93E4">
      <w:pPr>
        <w:pStyle w:val="11"/>
        <w:bidi w:val="0"/>
        <w:rPr>
          <w:rFonts w:hint="eastAsia"/>
          <w:highlight w:val="none"/>
          <w:lang w:eastAsia="zh-CN"/>
        </w:rPr>
      </w:pPr>
      <w:r>
        <w:rPr>
          <w:rFonts w:hint="eastAsia"/>
          <w:highlight w:val="none"/>
          <w:lang w:val="en-US" w:eastAsia="zh-CN"/>
        </w:rPr>
        <w:t>合同</w:t>
      </w:r>
      <w:r>
        <w:rPr>
          <w:rFonts w:hint="eastAsia"/>
          <w:highlight w:val="none"/>
        </w:rPr>
        <w:t>附件</w:t>
      </w:r>
      <w:r>
        <w:rPr>
          <w:rFonts w:hint="eastAsia"/>
          <w:highlight w:val="none"/>
          <w:lang w:val="en-US" w:eastAsia="zh-CN"/>
        </w:rPr>
        <w:t>1</w:t>
      </w:r>
    </w:p>
    <w:p w14:paraId="45ABEAF3">
      <w:pPr>
        <w:spacing w:line="580" w:lineRule="exact"/>
        <w:ind w:firstLine="720" w:firstLineChars="20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东莞科技创新</w:t>
      </w:r>
      <w:r>
        <w:rPr>
          <w:rFonts w:hint="eastAsia" w:ascii="宋体" w:hAnsi="宋体" w:eastAsia="宋体" w:cs="宋体"/>
          <w:color w:val="auto"/>
          <w:sz w:val="36"/>
          <w:szCs w:val="36"/>
          <w:highlight w:val="none"/>
          <w:lang w:val="en-US" w:eastAsia="zh-CN"/>
        </w:rPr>
        <w:t>投资</w:t>
      </w:r>
      <w:r>
        <w:rPr>
          <w:rFonts w:hint="eastAsia" w:ascii="宋体" w:hAnsi="宋体" w:eastAsia="宋体" w:cs="宋体"/>
          <w:color w:val="auto"/>
          <w:sz w:val="36"/>
          <w:szCs w:val="36"/>
          <w:highlight w:val="none"/>
        </w:rPr>
        <w:t>集团</w:t>
      </w:r>
    </w:p>
    <w:p w14:paraId="2B48FE2E">
      <w:pPr>
        <w:spacing w:line="580" w:lineRule="exact"/>
        <w:ind w:firstLine="720" w:firstLineChars="200"/>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阳光合作告知函</w:t>
      </w:r>
    </w:p>
    <w:p w14:paraId="714BA09C">
      <w:pPr>
        <w:pStyle w:val="60"/>
        <w:wordWrap w:val="0"/>
        <w:snapToGrid w:val="0"/>
        <w:ind w:firstLine="480" w:firstLineChars="200"/>
        <w:jc w:val="right"/>
        <w:rPr>
          <w:rFonts w:hint="eastAsia" w:ascii="宋体" w:hAnsi="宋体" w:eastAsia="宋体" w:cs="宋体"/>
          <w:bCs w:val="0"/>
          <w:color w:val="auto"/>
          <w:sz w:val="24"/>
          <w:szCs w:val="24"/>
          <w:highlight w:val="none"/>
        </w:rPr>
      </w:pP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lang w:val="en-US" w:eastAsia="zh-CN"/>
        </w:rPr>
        <w:t xml:space="preserve">           </w:t>
      </w:r>
    </w:p>
    <w:p w14:paraId="0F99F6EE">
      <w:pPr>
        <w:pStyle w:val="60"/>
        <w:snapToGrid w:val="0"/>
        <w:spacing w:line="580" w:lineRule="exact"/>
        <w:ind w:firstLine="0"/>
        <w:rPr>
          <w:rFonts w:hint="eastAsia" w:ascii="宋体" w:hAnsi="宋体" w:eastAsia="宋体" w:cs="宋体"/>
          <w:color w:val="auto"/>
          <w:sz w:val="24"/>
          <w:szCs w:val="24"/>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C499A62">
      <w:pPr>
        <w:pStyle w:val="6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w:t>
      </w:r>
      <w:r>
        <w:rPr>
          <w:rFonts w:hint="eastAsia" w:ascii="宋体" w:hAnsi="宋体" w:eastAsia="宋体" w:cs="宋体"/>
          <w:color w:val="auto"/>
          <w:sz w:val="24"/>
          <w:szCs w:val="24"/>
          <w:highlight w:val="none"/>
          <w:u w:val="single"/>
        </w:rPr>
        <w:t xml:space="preserve">  东莞市大学创新城建设发展有限公司  </w:t>
      </w:r>
      <w:r>
        <w:rPr>
          <w:rFonts w:hint="eastAsia" w:ascii="宋体" w:hAnsi="宋体" w:eastAsia="宋体" w:cs="宋体"/>
          <w:color w:val="auto"/>
          <w:sz w:val="24"/>
          <w:szCs w:val="24"/>
          <w:highlight w:val="none"/>
        </w:rPr>
        <w:t>人员廉洁从业，规范和鼓励诚信交易行为，防止腐败和商业贿赂发生，推动双方建立阳光合作关系，现将我方推行阳光合作的相关管理规定函告如下：</w:t>
      </w:r>
    </w:p>
    <w:p w14:paraId="4E3A85B3">
      <w:pPr>
        <w:pStyle w:val="6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一、我方负责对本单位有关人员进行阳光合作教育和管理。</w:t>
      </w:r>
    </w:p>
    <w:p w14:paraId="68DD0C5C">
      <w:pPr>
        <w:pStyle w:val="6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二、我方人员有责任向贵方介绍本单位有关阳光合作的相关规定。</w:t>
      </w:r>
    </w:p>
    <w:p w14:paraId="05EB976E">
      <w:pPr>
        <w:pStyle w:val="6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三、我方人员应本着诚实守信、公平公开、平等互利原则开展交易合作，遵守国家相关法律法规。</w:t>
      </w:r>
    </w:p>
    <w:p w14:paraId="32FD81CF">
      <w:pPr>
        <w:pStyle w:val="6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四、我方人员应廉洁从业，自觉抵制商业贿赂及不正当交易行为，在交易业务中涉及本人、亲属或其他相关人员时，应主动提请回避。</w:t>
      </w:r>
    </w:p>
    <w:p w14:paraId="69062320">
      <w:pPr>
        <w:pStyle w:val="6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五、在业务合作过程中，我方人员不得有以下违法违规行为：</w:t>
      </w:r>
    </w:p>
    <w:p w14:paraId="1F63EC3A">
      <w:pPr>
        <w:pStyle w:val="6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（一）合作过程中通过各种方式向贵方索贿、行贿，或为亲属、其他相关人员索取其他协助或服务； </w:t>
      </w:r>
    </w:p>
    <w:p w14:paraId="3F6E30AD">
      <w:pPr>
        <w:pStyle w:val="6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29AA7B82">
      <w:pPr>
        <w:pStyle w:val="6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（三）擅自截留、挪用或侵占贵方财物； </w:t>
      </w:r>
    </w:p>
    <w:p w14:paraId="5A6956ED">
      <w:pPr>
        <w:pStyle w:val="6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（四）以各种形式参与民间借贷，帮助贵方过桥借贷； </w:t>
      </w:r>
    </w:p>
    <w:p w14:paraId="63F21A78">
      <w:pPr>
        <w:pStyle w:val="6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（五）参与黄、赌、毒等违法犯罪活动；</w:t>
      </w:r>
    </w:p>
    <w:p w14:paraId="4E27A1E7">
      <w:pPr>
        <w:pStyle w:val="6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（六）其他违反国家法律法规和</w:t>
      </w:r>
      <w:r>
        <w:rPr>
          <w:rFonts w:hint="eastAsia" w:ascii="宋体" w:hAnsi="宋体" w:eastAsia="宋体" w:cs="宋体"/>
          <w:strike w:val="0"/>
          <w:dstrike w:val="0"/>
          <w:color w:val="auto"/>
          <w:sz w:val="24"/>
          <w:szCs w:val="24"/>
          <w:highlight w:val="none"/>
          <w:u w:val="none"/>
          <w:shd w:val="clear" w:fill="auto"/>
        </w:rPr>
        <w:t>违反</w:t>
      </w:r>
      <w:r>
        <w:rPr>
          <w:rFonts w:hint="eastAsia" w:ascii="宋体" w:hAnsi="宋体" w:eastAsia="宋体" w:cs="宋体"/>
          <w:color w:val="auto"/>
          <w:sz w:val="24"/>
          <w:szCs w:val="24"/>
          <w:highlight w:val="none"/>
        </w:rPr>
        <w:t xml:space="preserve">廉洁从业的行为。 </w:t>
      </w:r>
    </w:p>
    <w:p w14:paraId="6FB16B0C">
      <w:pPr>
        <w:pStyle w:val="6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六、在业务合作期间，我方有权通过回访等方式监督阳光合作执行情况。贵方及贵方人员发现我方任何人员任何形式的行贿、索贿、受贿或其他违反阳光合作的行为，可及时向我方举报。</w:t>
      </w:r>
    </w:p>
    <w:p w14:paraId="76CB4500">
      <w:pPr>
        <w:pStyle w:val="6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七、烦请贵方及贵方人员在投诉举报时，积极配合我方的相关调查工作，并提供联系方式等，便于我方纪检监察机构联系与调查核实。我方承诺对贵方的投诉举报人进行保密。</w:t>
      </w:r>
    </w:p>
    <w:p w14:paraId="1926AE17">
      <w:pPr>
        <w:pStyle w:val="6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八、贵方投诉举报的情况，经查证属实，我方将视情节轻重和影响恶劣程度对相关人员进行内部处理，构成犯罪的，依法移送司法机关处置，并将调查结果及时向贵方反馈。</w:t>
      </w:r>
    </w:p>
    <w:p w14:paraId="62C6796E">
      <w:pPr>
        <w:pStyle w:val="6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九、如贵方经办人员或其他相关人员主动诱使我方人员作出本告知函第五点列明的违法违规行为的，我方有权终止双方的合作，由此造成的损失由贵方承担。</w:t>
      </w:r>
    </w:p>
    <w:p w14:paraId="5DF65320">
      <w:pPr>
        <w:pStyle w:val="6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十、我方对如实举报和严格遵守阳光合作精神的合作方，在同等条件下给予后续合作的优先权。</w:t>
      </w:r>
    </w:p>
    <w:p w14:paraId="1C96E4BF">
      <w:pPr>
        <w:pStyle w:val="6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十一、其他</w:t>
      </w:r>
    </w:p>
    <w:p w14:paraId="505579BF">
      <w:pPr>
        <w:pStyle w:val="6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（一）本告知函所言“其他相关人员”是指经办人以外的与合作项目有直接或间接利益关系的人员，包括但不仅限于项目经办人的亲友。</w:t>
      </w:r>
    </w:p>
    <w:p w14:paraId="65F0CB0B">
      <w:pPr>
        <w:pStyle w:val="6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（二）我方常设投诉举报受理部门及联系方式： </w:t>
      </w:r>
    </w:p>
    <w:p w14:paraId="0F0C621B">
      <w:pPr>
        <w:pStyle w:val="60"/>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1.投诉举报受理部门：</w:t>
      </w:r>
      <w:r>
        <w:rPr>
          <w:rFonts w:hint="eastAsia" w:ascii="宋体" w:hAnsi="宋体" w:eastAsia="宋体" w:cs="宋体"/>
          <w:color w:val="auto"/>
          <w:sz w:val="24"/>
          <w:szCs w:val="24"/>
          <w:highlight w:val="none"/>
        </w:rPr>
        <w:t>东莞科技创新</w:t>
      </w:r>
      <w:r>
        <w:rPr>
          <w:rFonts w:hint="eastAsia" w:ascii="宋体" w:hAnsi="宋体" w:eastAsia="宋体" w:cs="宋体"/>
          <w:color w:val="auto"/>
          <w:sz w:val="24"/>
          <w:szCs w:val="24"/>
          <w:highlight w:val="none"/>
          <w:lang w:val="en-US" w:eastAsia="zh-CN"/>
        </w:rPr>
        <w:t>投资</w:t>
      </w:r>
      <w:r>
        <w:rPr>
          <w:rFonts w:hint="eastAsia" w:ascii="宋体" w:hAnsi="宋体" w:eastAsia="宋体" w:cs="宋体"/>
          <w:color w:val="auto"/>
          <w:sz w:val="24"/>
          <w:szCs w:val="24"/>
          <w:highlight w:val="none"/>
        </w:rPr>
        <w:t>集团纪检监察部；</w:t>
      </w:r>
    </w:p>
    <w:p w14:paraId="64FF86AA">
      <w:pPr>
        <w:pStyle w:val="60"/>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2.投诉举报邮箱：</w:t>
      </w:r>
      <w:r>
        <w:rPr>
          <w:rFonts w:hint="eastAsia" w:ascii="宋体" w:hAnsi="宋体" w:eastAsia="宋体" w:cs="宋体"/>
          <w:color w:val="auto"/>
          <w:sz w:val="24"/>
          <w:szCs w:val="24"/>
          <w:highlight w:val="none"/>
        </w:rPr>
        <w:t>kcjw@dgkcjr.com ；</w:t>
      </w:r>
    </w:p>
    <w:p w14:paraId="5FECF35C">
      <w:pPr>
        <w:pStyle w:val="60"/>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3.投诉举报电话：</w:t>
      </w:r>
      <w:r>
        <w:rPr>
          <w:rFonts w:hint="eastAsia" w:ascii="宋体" w:hAnsi="宋体" w:eastAsia="宋体" w:cs="宋体"/>
          <w:color w:val="auto"/>
          <w:sz w:val="24"/>
          <w:szCs w:val="24"/>
          <w:highlight w:val="none"/>
        </w:rPr>
        <w:t>0769–22890369（周一至周五：9:00～17:30）；</w:t>
      </w:r>
    </w:p>
    <w:p w14:paraId="621F4E88">
      <w:pPr>
        <w:pStyle w:val="60"/>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4.联系地址：</w:t>
      </w:r>
      <w:r>
        <w:rPr>
          <w:rFonts w:hint="eastAsia" w:ascii="宋体" w:hAnsi="宋体" w:eastAsia="宋体" w:cs="宋体"/>
          <w:color w:val="auto"/>
          <w:sz w:val="24"/>
          <w:szCs w:val="24"/>
          <w:highlight w:val="none"/>
        </w:rPr>
        <w:t>东莞市松山湖园区新城路5号道弘龙怡智谷A栋10楼；</w:t>
      </w:r>
    </w:p>
    <w:p w14:paraId="705618ED">
      <w:pPr>
        <w:pStyle w:val="60"/>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5.邮编：</w:t>
      </w:r>
      <w:r>
        <w:rPr>
          <w:rFonts w:hint="eastAsia" w:ascii="宋体" w:hAnsi="宋体" w:eastAsia="宋体" w:cs="宋体"/>
          <w:color w:val="auto"/>
          <w:sz w:val="24"/>
          <w:szCs w:val="24"/>
          <w:highlight w:val="none"/>
        </w:rPr>
        <w:t>523000。</w:t>
      </w:r>
    </w:p>
    <w:p w14:paraId="7885B9BB">
      <w:pPr>
        <w:pStyle w:val="6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让我们共同为建立健康、公平的商业秩序和实现双赢而努力！</w:t>
      </w:r>
    </w:p>
    <w:p w14:paraId="489C60B7">
      <w:pPr>
        <w:pStyle w:val="6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特此致函！</w:t>
      </w:r>
    </w:p>
    <w:p w14:paraId="6BFF6A80">
      <w:pPr>
        <w:pStyle w:val="60"/>
        <w:snapToGrid w:val="0"/>
        <w:spacing w:line="580" w:lineRule="exact"/>
        <w:ind w:firstLine="3252" w:firstLineChars="135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（签章）</w:t>
      </w:r>
    </w:p>
    <w:p w14:paraId="33B54EB2">
      <w:pPr>
        <w:pStyle w:val="60"/>
        <w:snapToGrid w:val="0"/>
        <w:spacing w:line="580" w:lineRule="exact"/>
        <w:ind w:firstLine="2981" w:firstLineChars="1355"/>
        <w:jc w:val="right"/>
        <w:rPr>
          <w:rFonts w:hint="eastAsia" w:ascii="宋体" w:hAnsi="宋体" w:eastAsia="宋体" w:cs="宋体"/>
          <w:sz w:val="24"/>
          <w:szCs w:val="24"/>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日</w:t>
      </w:r>
    </w:p>
    <w:p w14:paraId="10F564B0">
      <w:pPr>
        <w:rPr>
          <w:rFonts w:hint="eastAsia" w:ascii="宋体" w:hAnsi="宋体" w:eastAsia="宋体" w:cs="宋体"/>
          <w:highlight w:val="none"/>
        </w:rPr>
      </w:pPr>
    </w:p>
    <w:p w14:paraId="6BC210BF">
      <w:pPr>
        <w:rPr>
          <w:rFonts w:hint="eastAsia" w:ascii="宋体" w:hAnsi="宋体" w:eastAsia="宋体" w:cs="宋体"/>
          <w:highlight w:val="none"/>
        </w:rPr>
      </w:pPr>
    </w:p>
    <w:p w14:paraId="203AED42">
      <w:pPr>
        <w:pStyle w:val="19"/>
        <w:rPr>
          <w:rFonts w:hint="eastAsia" w:ascii="宋体" w:hAnsi="宋体" w:eastAsia="宋体" w:cs="宋体"/>
          <w:highlight w:val="none"/>
        </w:rPr>
      </w:pPr>
    </w:p>
    <w:p w14:paraId="687DB7CB">
      <w:pPr>
        <w:pStyle w:val="19"/>
        <w:rPr>
          <w:rFonts w:hint="eastAsia" w:ascii="宋体" w:hAnsi="宋体" w:eastAsia="宋体" w:cs="宋体"/>
          <w:highlight w:val="none"/>
        </w:rPr>
      </w:pPr>
    </w:p>
    <w:p w14:paraId="2C3BDA1B">
      <w:pPr>
        <w:pStyle w:val="60"/>
        <w:keepNext w:val="0"/>
        <w:keepLines w:val="0"/>
        <w:pageBreakBefore w:val="0"/>
        <w:widowControl w:val="0"/>
        <w:kinsoku/>
        <w:wordWrap/>
        <w:overflowPunct/>
        <w:topLinePunct w:val="0"/>
        <w:bidi w:val="0"/>
        <w:snapToGrid w:val="0"/>
        <w:spacing w:line="580" w:lineRule="exact"/>
        <w:ind w:firstLine="0"/>
        <w:jc w:val="center"/>
        <w:rPr>
          <w:rFonts w:hint="eastAsia" w:ascii="宋体" w:hAnsi="宋体" w:eastAsia="宋体" w:cs="宋体"/>
          <w:sz w:val="48"/>
          <w:szCs w:val="48"/>
          <w:highlight w:val="none"/>
          <w:lang w:val="zh-CN"/>
        </w:rPr>
      </w:pPr>
      <w:r>
        <w:rPr>
          <w:rFonts w:hint="eastAsia" w:ascii="宋体" w:hAnsi="宋体" w:eastAsia="宋体" w:cs="宋体"/>
          <w:sz w:val="48"/>
          <w:szCs w:val="48"/>
          <w:highlight w:val="none"/>
          <w:lang w:val="zh-CN"/>
        </w:rPr>
        <w:t>阳光合作告知函回执</w:t>
      </w:r>
    </w:p>
    <w:p w14:paraId="47F268CA">
      <w:pPr>
        <w:pStyle w:val="60"/>
        <w:keepNext w:val="0"/>
        <w:keepLines w:val="0"/>
        <w:pageBreakBefore w:val="0"/>
        <w:widowControl w:val="0"/>
        <w:kinsoku/>
        <w:wordWrap/>
        <w:overflowPunct/>
        <w:topLinePunct w:val="0"/>
        <w:bidi w:val="0"/>
        <w:snapToGrid w:val="0"/>
        <w:spacing w:line="580" w:lineRule="exact"/>
        <w:ind w:firstLine="0"/>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 xml:space="preserve">                            </w:t>
      </w:r>
    </w:p>
    <w:p w14:paraId="5A08D4F2">
      <w:pPr>
        <w:pStyle w:val="60"/>
        <w:keepNext w:val="0"/>
        <w:keepLines w:val="0"/>
        <w:pageBreakBefore w:val="0"/>
        <w:widowControl w:val="0"/>
        <w:kinsoku/>
        <w:wordWrap/>
        <w:overflowPunct/>
        <w:topLinePunct w:val="0"/>
        <w:bidi w:val="0"/>
        <w:snapToGrid w:val="0"/>
        <w:spacing w:line="580" w:lineRule="exact"/>
        <w:ind w:firstLine="0"/>
        <w:jc w:val="center"/>
        <w:rPr>
          <w:rFonts w:hint="eastAsia" w:ascii="宋体" w:hAnsi="宋体" w:eastAsia="宋体" w:cs="宋体"/>
          <w:sz w:val="28"/>
          <w:szCs w:val="28"/>
          <w:highlight w:val="none"/>
          <w:lang w:val="zh-CN"/>
        </w:rPr>
      </w:pPr>
      <w:r>
        <w:rPr>
          <w:rFonts w:hint="eastAsia" w:ascii="宋体" w:hAnsi="宋体" w:eastAsia="宋体" w:cs="宋体"/>
          <w:sz w:val="30"/>
          <w:szCs w:val="30"/>
          <w:highlight w:val="none"/>
        </w:rPr>
        <w:t xml:space="preserve">              </w:t>
      </w:r>
      <w:r>
        <w:rPr>
          <w:rFonts w:hint="eastAsia" w:ascii="宋体" w:hAnsi="宋体" w:eastAsia="宋体" w:cs="宋体"/>
          <w:sz w:val="28"/>
          <w:szCs w:val="28"/>
          <w:highlight w:val="none"/>
          <w:lang w:val="zh-CN"/>
        </w:rPr>
        <w:t>编号：</w:t>
      </w:r>
    </w:p>
    <w:p w14:paraId="6379BE09">
      <w:pPr>
        <w:pStyle w:val="60"/>
        <w:keepNext w:val="0"/>
        <w:keepLines w:val="0"/>
        <w:pageBreakBefore w:val="0"/>
        <w:widowControl w:val="0"/>
        <w:kinsoku/>
        <w:wordWrap/>
        <w:overflowPunct/>
        <w:topLinePunct w:val="0"/>
        <w:bidi w:val="0"/>
        <w:snapToGrid w:val="0"/>
        <w:spacing w:line="580" w:lineRule="exact"/>
        <w:ind w:firstLine="0"/>
        <w:jc w:val="center"/>
        <w:rPr>
          <w:rFonts w:hint="eastAsia" w:ascii="宋体" w:hAnsi="宋体" w:eastAsia="宋体" w:cs="宋体"/>
          <w:sz w:val="28"/>
          <w:szCs w:val="28"/>
          <w:highlight w:val="none"/>
          <w:lang w:val="zh-CN"/>
        </w:rPr>
      </w:pPr>
    </w:p>
    <w:p w14:paraId="6476A57C">
      <w:pPr>
        <w:keepNext w:val="0"/>
        <w:keepLines w:val="0"/>
        <w:pageBreakBefore w:val="0"/>
        <w:widowControl w:val="0"/>
        <w:kinsoku/>
        <w:wordWrap/>
        <w:overflowPunct/>
        <w:topLinePunct w:val="0"/>
        <w:autoSpaceDE w:val="0"/>
        <w:autoSpaceDN w:val="0"/>
        <w:bidi w:val="0"/>
        <w:adjustRightInd w:val="0"/>
        <w:spacing w:line="580" w:lineRule="exact"/>
        <w:ind w:firstLine="525" w:firstLineChars="250"/>
        <w:jc w:val="left"/>
        <w:rPr>
          <w:rFonts w:hint="eastAsia" w:ascii="宋体" w:hAnsi="宋体" w:eastAsia="宋体" w:cs="宋体"/>
          <w:kern w:val="0"/>
          <w:highlight w:val="none"/>
          <w:lang w:val="zh-CN"/>
        </w:rPr>
      </w:pPr>
      <w:r>
        <w:rPr>
          <w:rFonts w:hint="eastAsia" w:ascii="宋体" w:hAnsi="宋体" w:eastAsia="宋体" w:cs="宋体"/>
          <w:highlight w:val="none"/>
          <w:lang w:val="zh-CN"/>
        </w:rPr>
        <w:t>我单位于</w:t>
      </w:r>
      <w:r>
        <w:rPr>
          <w:rFonts w:hint="eastAsia" w:ascii="宋体" w:hAnsi="宋体" w:eastAsia="宋体" w:cs="宋体"/>
          <w:highlight w:val="none"/>
          <w:u w:val="single"/>
          <w:lang w:val="zh-CN"/>
        </w:rPr>
        <w:t xml:space="preserve">       </w:t>
      </w:r>
      <w:r>
        <w:rPr>
          <w:rFonts w:hint="eastAsia" w:ascii="宋体" w:hAnsi="宋体" w:eastAsia="宋体" w:cs="宋体"/>
          <w:highlight w:val="none"/>
          <w:lang w:val="zh-CN"/>
        </w:rPr>
        <w:t>年</w:t>
      </w:r>
      <w:r>
        <w:rPr>
          <w:rFonts w:hint="eastAsia" w:ascii="宋体" w:hAnsi="宋体" w:eastAsia="宋体" w:cs="宋体"/>
          <w:highlight w:val="none"/>
          <w:u w:val="single"/>
          <w:lang w:val="zh-CN"/>
        </w:rPr>
        <w:t xml:space="preserve">    </w:t>
      </w:r>
      <w:r>
        <w:rPr>
          <w:rFonts w:hint="eastAsia" w:ascii="宋体" w:hAnsi="宋体" w:eastAsia="宋体" w:cs="宋体"/>
          <w:highlight w:val="none"/>
          <w:lang w:val="zh-CN"/>
        </w:rPr>
        <w:t>月</w:t>
      </w:r>
      <w:r>
        <w:rPr>
          <w:rFonts w:hint="eastAsia" w:ascii="宋体" w:hAnsi="宋体" w:eastAsia="宋体" w:cs="宋体"/>
          <w:highlight w:val="none"/>
          <w:u w:val="single"/>
          <w:lang w:val="zh-CN"/>
        </w:rPr>
        <w:t xml:space="preserve">   </w:t>
      </w:r>
      <w:r>
        <w:rPr>
          <w:rFonts w:hint="eastAsia" w:ascii="宋体" w:hAnsi="宋体" w:eastAsia="宋体" w:cs="宋体"/>
          <w:highlight w:val="none"/>
          <w:lang w:val="zh-CN"/>
        </w:rPr>
        <w:t>日收到</w:t>
      </w:r>
      <w:r>
        <w:rPr>
          <w:rFonts w:hint="eastAsia" w:ascii="宋体" w:hAnsi="宋体" w:eastAsia="宋体" w:cs="宋体"/>
          <w:highlight w:val="none"/>
          <w:u w:val="single"/>
        </w:rPr>
        <w:t xml:space="preserve">                 </w:t>
      </w:r>
      <w:r>
        <w:rPr>
          <w:rFonts w:hint="eastAsia" w:ascii="宋体" w:hAnsi="宋体" w:eastAsia="宋体" w:cs="宋体"/>
          <w:highlight w:val="none"/>
          <w:lang w:val="zh-CN"/>
        </w:rPr>
        <w:t>的《阳光合作告知</w:t>
      </w:r>
      <w:r>
        <w:rPr>
          <w:rFonts w:hint="eastAsia" w:ascii="宋体" w:hAnsi="宋体" w:eastAsia="宋体" w:cs="宋体"/>
          <w:kern w:val="0"/>
          <w:highlight w:val="none"/>
          <w:lang w:val="zh-CN"/>
        </w:rPr>
        <w:t>函</w:t>
      </w:r>
      <w:r>
        <w:rPr>
          <w:rFonts w:hint="eastAsia" w:ascii="宋体" w:hAnsi="宋体" w:eastAsia="宋体" w:cs="宋体"/>
          <w:highlight w:val="none"/>
          <w:lang w:val="zh-CN"/>
        </w:rPr>
        <w:t>》</w:t>
      </w:r>
      <w:r>
        <w:rPr>
          <w:rFonts w:hint="eastAsia" w:ascii="宋体" w:hAnsi="宋体" w:eastAsia="宋体" w:cs="宋体"/>
          <w:kern w:val="0"/>
          <w:highlight w:val="none"/>
          <w:lang w:val="zh-CN"/>
        </w:rPr>
        <w:t>，承诺理解函告内容并告知相关人员严格执行其中规定。</w:t>
      </w:r>
    </w:p>
    <w:p w14:paraId="610AE5B8">
      <w:pPr>
        <w:keepNext w:val="0"/>
        <w:keepLines w:val="0"/>
        <w:pageBreakBefore w:val="0"/>
        <w:widowControl w:val="0"/>
        <w:kinsoku/>
        <w:wordWrap/>
        <w:overflowPunct/>
        <w:topLinePunct w:val="0"/>
        <w:autoSpaceDE w:val="0"/>
        <w:autoSpaceDN w:val="0"/>
        <w:bidi w:val="0"/>
        <w:adjustRightInd w:val="0"/>
        <w:spacing w:line="580" w:lineRule="exact"/>
        <w:ind w:firstLine="525" w:firstLineChars="250"/>
        <w:jc w:val="left"/>
        <w:rPr>
          <w:rFonts w:hint="eastAsia" w:ascii="宋体" w:hAnsi="宋体" w:eastAsia="宋体" w:cs="宋体"/>
          <w:kern w:val="0"/>
          <w:highlight w:val="none"/>
          <w:lang w:val="zh-CN"/>
        </w:rPr>
      </w:pPr>
    </w:p>
    <w:p w14:paraId="595B39DC">
      <w:pPr>
        <w:keepNext w:val="0"/>
        <w:keepLines w:val="0"/>
        <w:pageBreakBefore w:val="0"/>
        <w:widowControl w:val="0"/>
        <w:kinsoku/>
        <w:wordWrap/>
        <w:overflowPunct/>
        <w:topLinePunct w:val="0"/>
        <w:autoSpaceDE w:val="0"/>
        <w:autoSpaceDN w:val="0"/>
        <w:bidi w:val="0"/>
        <w:adjustRightInd w:val="0"/>
        <w:snapToGrid w:val="0"/>
        <w:spacing w:line="580" w:lineRule="exact"/>
        <w:jc w:val="left"/>
        <w:rPr>
          <w:rFonts w:hint="eastAsia" w:ascii="宋体" w:hAnsi="宋体" w:eastAsia="宋体" w:cs="宋体"/>
          <w:highlight w:val="none"/>
          <w:lang w:val="zh-CN"/>
        </w:rPr>
      </w:pPr>
      <w:r>
        <w:rPr>
          <w:rFonts w:hint="eastAsia" w:ascii="宋体" w:hAnsi="宋体" w:eastAsia="宋体" w:cs="宋体"/>
          <w:highlight w:val="none"/>
          <w:lang w:val="zh-CN"/>
        </w:rPr>
        <w:t xml:space="preserve">                               （公司盖章）</w:t>
      </w:r>
    </w:p>
    <w:p w14:paraId="1E36FD1C">
      <w:pPr>
        <w:keepNext w:val="0"/>
        <w:keepLines w:val="0"/>
        <w:pageBreakBefore w:val="0"/>
        <w:widowControl w:val="0"/>
        <w:kinsoku/>
        <w:wordWrap/>
        <w:overflowPunct/>
        <w:topLinePunct w:val="0"/>
        <w:autoSpaceDE w:val="0"/>
        <w:autoSpaceDN w:val="0"/>
        <w:bidi w:val="0"/>
        <w:adjustRightInd w:val="0"/>
        <w:snapToGrid w:val="0"/>
        <w:spacing w:line="580" w:lineRule="exact"/>
        <w:ind w:firstLine="2940" w:firstLineChars="1400"/>
        <w:rPr>
          <w:rFonts w:hint="eastAsia" w:ascii="宋体" w:hAnsi="宋体" w:eastAsia="宋体" w:cs="宋体"/>
          <w:highlight w:val="none"/>
        </w:rPr>
      </w:pPr>
      <w:r>
        <w:rPr>
          <w:rFonts w:hint="eastAsia" w:ascii="宋体" w:hAnsi="宋体" w:eastAsia="宋体" w:cs="宋体"/>
          <w:highlight w:val="none"/>
        </w:rPr>
        <w:t>法定代表人</w:t>
      </w:r>
      <w:r>
        <w:rPr>
          <w:rFonts w:hint="eastAsia" w:ascii="宋体" w:hAnsi="宋体" w:eastAsia="宋体" w:cs="宋体"/>
          <w:highlight w:val="none"/>
          <w:lang w:val="en-US" w:eastAsia="zh-CN"/>
        </w:rPr>
        <w:t>或授权人</w:t>
      </w:r>
      <w:r>
        <w:rPr>
          <w:rFonts w:hint="eastAsia" w:ascii="宋体" w:hAnsi="宋体" w:eastAsia="宋体" w:cs="宋体"/>
          <w:highlight w:val="none"/>
        </w:rPr>
        <w:t>：</w:t>
      </w:r>
    </w:p>
    <w:p w14:paraId="0D42AD7C">
      <w:pPr>
        <w:keepNext w:val="0"/>
        <w:keepLines w:val="0"/>
        <w:pageBreakBefore w:val="0"/>
        <w:widowControl w:val="0"/>
        <w:kinsoku/>
        <w:wordWrap/>
        <w:overflowPunct/>
        <w:topLinePunct w:val="0"/>
        <w:autoSpaceDE w:val="0"/>
        <w:autoSpaceDN w:val="0"/>
        <w:bidi w:val="0"/>
        <w:adjustRightInd w:val="0"/>
        <w:snapToGrid w:val="0"/>
        <w:spacing w:line="580" w:lineRule="exact"/>
        <w:jc w:val="right"/>
        <w:rPr>
          <w:rFonts w:hint="eastAsia" w:ascii="宋体" w:hAnsi="宋体" w:eastAsia="宋体" w:cs="宋体"/>
          <w:highlight w:val="none"/>
        </w:rPr>
      </w:pPr>
    </w:p>
    <w:p w14:paraId="1F2DB32F">
      <w:pPr>
        <w:keepNext w:val="0"/>
        <w:keepLines w:val="0"/>
        <w:pageBreakBefore w:val="0"/>
        <w:widowControl w:val="0"/>
        <w:kinsoku/>
        <w:wordWrap/>
        <w:overflowPunct/>
        <w:topLinePunct w:val="0"/>
        <w:autoSpaceDE w:val="0"/>
        <w:autoSpaceDN w:val="0"/>
        <w:bidi w:val="0"/>
        <w:adjustRightInd w:val="0"/>
        <w:snapToGrid w:val="0"/>
        <w:spacing w:line="580" w:lineRule="exact"/>
        <w:jc w:val="right"/>
        <w:rPr>
          <w:rFonts w:hint="eastAsia" w:ascii="宋体" w:hAnsi="宋体" w:eastAsia="宋体" w:cs="宋体"/>
          <w:highlight w:val="none"/>
        </w:rPr>
      </w:pPr>
      <w:r>
        <w:rPr>
          <w:rFonts w:hint="eastAsia" w:ascii="宋体" w:hAnsi="宋体" w:eastAsia="宋体" w:cs="宋体"/>
          <w:highlight w:val="none"/>
        </w:rPr>
        <w:t>年   月    日</w:t>
      </w:r>
    </w:p>
    <w:p w14:paraId="588723ED">
      <w:pPr>
        <w:rPr>
          <w:rFonts w:hint="eastAsia" w:ascii="宋体" w:hAnsi="宋体" w:eastAsia="宋体" w:cs="宋体"/>
          <w:highlight w:val="none"/>
        </w:rPr>
      </w:pPr>
    </w:p>
    <w:p w14:paraId="23F186B2">
      <w:pPr>
        <w:widowControl/>
        <w:numPr>
          <w:ilvl w:val="0"/>
          <w:numId w:val="0"/>
        </w:numPr>
        <w:adjustRightInd w:val="0"/>
        <w:snapToGrid w:val="0"/>
        <w:spacing w:before="166" w:beforeLines="50" w:after="166" w:afterLines="50" w:line="336" w:lineRule="auto"/>
        <w:ind w:leftChars="0"/>
        <w:rPr>
          <w:rFonts w:hint="eastAsia" w:ascii="宋体" w:hAnsi="宋体" w:eastAsia="宋体" w:cs="宋体"/>
          <w:b/>
          <w:sz w:val="24"/>
          <w:highlight w:val="none"/>
          <w:lang w:eastAsia="zh-CN"/>
        </w:rPr>
      </w:pPr>
    </w:p>
    <w:p w14:paraId="2EEB8FF3">
      <w:pPr>
        <w:pStyle w:val="2"/>
        <w:rPr>
          <w:rFonts w:hint="eastAsia"/>
          <w:highlight w:val="none"/>
          <w:lang w:eastAsia="zh-CN"/>
        </w:rPr>
      </w:pPr>
    </w:p>
    <w:p w14:paraId="57B69F88">
      <w:pPr>
        <w:rPr>
          <w:rFonts w:hint="eastAsia"/>
          <w:highlight w:val="none"/>
          <w:lang w:eastAsia="zh-CN"/>
        </w:rPr>
      </w:pPr>
      <w:r>
        <w:rPr>
          <w:rFonts w:hint="eastAsia"/>
          <w:highlight w:val="none"/>
          <w:lang w:eastAsia="zh-CN"/>
        </w:rPr>
        <w:br w:type="page"/>
      </w:r>
    </w:p>
    <w:p w14:paraId="379EBDAD">
      <w:pPr>
        <w:pStyle w:val="11"/>
        <w:bidi w:val="0"/>
        <w:rPr>
          <w:rFonts w:hint="eastAsia"/>
          <w:highlight w:val="none"/>
          <w:lang w:val="zh-CN"/>
        </w:rPr>
      </w:pPr>
      <w:r>
        <w:rPr>
          <w:rFonts w:hint="eastAsia"/>
          <w:highlight w:val="none"/>
          <w:lang w:val="en-US" w:eastAsia="zh-CN"/>
        </w:rPr>
        <w:t>合同</w:t>
      </w:r>
      <w:r>
        <w:rPr>
          <w:rFonts w:hint="eastAsia"/>
          <w:highlight w:val="none"/>
        </w:rPr>
        <w:t>附件</w:t>
      </w:r>
      <w:r>
        <w:rPr>
          <w:rFonts w:hint="eastAsia"/>
          <w:highlight w:val="none"/>
          <w:lang w:val="en-US" w:eastAsia="zh-CN"/>
        </w:rPr>
        <w:t>2</w:t>
      </w:r>
    </w:p>
    <w:p w14:paraId="5D2F359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b/>
          <w:color w:val="auto"/>
          <w:sz w:val="44"/>
          <w:szCs w:val="44"/>
          <w:highlight w:val="none"/>
          <w:lang w:val="zh-CN"/>
        </w:rPr>
      </w:pPr>
      <w:r>
        <w:rPr>
          <w:rFonts w:hint="eastAsia" w:ascii="宋体" w:hAnsi="宋体"/>
          <w:b/>
          <w:color w:val="auto"/>
          <w:sz w:val="44"/>
          <w:szCs w:val="44"/>
          <w:highlight w:val="none"/>
          <w:lang w:val="zh-CN"/>
        </w:rPr>
        <w:t>项目保密承诺书</w:t>
      </w:r>
    </w:p>
    <w:p w14:paraId="1F03F789">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p>
    <w:p w14:paraId="6BEF283B">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为保证合作双方实现顺利合作，避免因信息泄露而给</w:t>
      </w:r>
      <w:r>
        <w:rPr>
          <w:rFonts w:hint="eastAsia" w:ascii="宋体" w:hAnsi="宋体" w:eastAsia="宋体" w:cs="宋体"/>
          <w:strike w:val="0"/>
          <w:dstrike w:val="0"/>
          <w:color w:val="auto"/>
          <w:sz w:val="21"/>
          <w:szCs w:val="21"/>
          <w:highlight w:val="none"/>
          <w:u w:val="none"/>
          <w:shd w:val="clear" w:fill="auto"/>
          <w:lang w:val="zh-CN"/>
        </w:rPr>
        <w:t>受服务企业</w:t>
      </w:r>
      <w:r>
        <w:rPr>
          <w:rFonts w:hint="eastAsia" w:ascii="宋体" w:hAnsi="宋体" w:eastAsia="宋体" w:cs="宋体"/>
          <w:color w:val="auto"/>
          <w:sz w:val="21"/>
          <w:szCs w:val="21"/>
          <w:highlight w:val="none"/>
          <w:lang w:val="zh-CN"/>
        </w:rPr>
        <w:t>造成损失，本单位以及本单位派驻本项目人员承诺遵守本保密承诺书内容。</w:t>
      </w:r>
    </w:p>
    <w:p w14:paraId="4B6BC784">
      <w:pPr>
        <w:keepNext w:val="0"/>
        <w:keepLines w:val="0"/>
        <w:pageBreakBefore w:val="0"/>
        <w:widowControl/>
        <w:kinsoku/>
        <w:wordWrap/>
        <w:overflowPunct/>
        <w:topLinePunct w:val="0"/>
        <w:autoSpaceDE w:val="0"/>
        <w:autoSpaceDN w:val="0"/>
        <w:bidi w:val="0"/>
        <w:adjustRightInd w:val="0"/>
        <w:snapToGrid w:val="0"/>
        <w:spacing w:line="360" w:lineRule="auto"/>
        <w:ind w:firstLine="210" w:firstLineChars="1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1． 保密信息</w:t>
      </w:r>
    </w:p>
    <w:p w14:paraId="48ED677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本承诺书所示保密信息为合作项目中涉及的以及该项目合作过程中获取的</w:t>
      </w:r>
      <w:r>
        <w:rPr>
          <w:rFonts w:hint="eastAsia" w:ascii="宋体" w:hAnsi="宋体" w:eastAsia="宋体" w:cs="宋体"/>
          <w:strike w:val="0"/>
          <w:dstrike w:val="0"/>
          <w:color w:val="auto"/>
          <w:sz w:val="21"/>
          <w:szCs w:val="21"/>
          <w:highlight w:val="none"/>
          <w:u w:val="none"/>
          <w:shd w:val="clear" w:fill="auto"/>
          <w:lang w:val="zh-CN"/>
        </w:rPr>
        <w:t>受服务企业</w:t>
      </w:r>
      <w:r>
        <w:rPr>
          <w:rFonts w:hint="eastAsia" w:ascii="宋体" w:hAnsi="宋体" w:eastAsia="宋体" w:cs="宋体"/>
          <w:color w:val="auto"/>
          <w:sz w:val="21"/>
          <w:szCs w:val="21"/>
          <w:highlight w:val="none"/>
          <w:lang w:val="zh-CN"/>
        </w:rPr>
        <w:t>或其关联公司尚未公开的信息。</w:t>
      </w:r>
    </w:p>
    <w:p w14:paraId="227E94D4">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1.1信息内容包含符合法律规定条件的商业秘密，也包含尚未达到法律规定商业秘密构成条件的其他保密材料。包含但不限于：</w:t>
      </w:r>
    </w:p>
    <w:p w14:paraId="062731AC">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a. 技术资料：技术方案、工程设计、技术报告、检测报告、勘察报告、实验数据、图纸规划方案、CAD数据资料、成本分析及投资测算等；</w:t>
      </w:r>
    </w:p>
    <w:p w14:paraId="3F90758C">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b. 商业信息：经营战略、经营方向、经营规划、企划方案、经营项目、项目方案及经营决策等；</w:t>
      </w:r>
    </w:p>
    <w:p w14:paraId="6184B0EF">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c. 财务信息等。</w:t>
      </w:r>
    </w:p>
    <w:p w14:paraId="1F2D0B08">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1.2 信息储存方式包含但不限于：</w:t>
      </w:r>
    </w:p>
    <w:p w14:paraId="68445FBB">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a. 以手写、打印、软件、磁盘、光盘、胶片或其它可存取的方式记载的财务、技术或商业信息；</w:t>
      </w:r>
    </w:p>
    <w:p w14:paraId="3AD3A7CF">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b. 以口头方式说明需要保密的财务、技术或商业信息；</w:t>
      </w:r>
    </w:p>
    <w:p w14:paraId="3A079D42">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c. 以软件代码、文字图像、分析注释、备忘录、图纸、研究报告、编辑数据等各种方式出现的财务、技术或商业信息等。</w:t>
      </w:r>
    </w:p>
    <w:p w14:paraId="4C56C8A4">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1.3 信息范围包含但不限于：</w:t>
      </w:r>
    </w:p>
    <w:p w14:paraId="64F442CD">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a. 信息包含双方在讨论合作过程中，包括但不限于在</w:t>
      </w:r>
      <w:r>
        <w:rPr>
          <w:rFonts w:hint="eastAsia" w:ascii="宋体" w:hAnsi="宋体" w:eastAsia="宋体" w:cs="宋体"/>
          <w:strike w:val="0"/>
          <w:dstrike w:val="0"/>
          <w:color w:val="auto"/>
          <w:sz w:val="21"/>
          <w:szCs w:val="21"/>
          <w:highlight w:val="none"/>
          <w:u w:val="none"/>
          <w:shd w:val="clear" w:fill="auto"/>
          <w:lang w:val="zh-CN"/>
        </w:rPr>
        <w:t>受服务企业</w:t>
      </w:r>
      <w:r>
        <w:rPr>
          <w:rFonts w:hint="eastAsia" w:ascii="宋体" w:hAnsi="宋体" w:eastAsia="宋体" w:cs="宋体"/>
          <w:color w:val="auto"/>
          <w:sz w:val="21"/>
          <w:szCs w:val="21"/>
          <w:highlight w:val="none"/>
          <w:lang w:val="zh-CN"/>
        </w:rPr>
        <w:t>处参观、考察的过程中以其它形式获得的财务、技术或商业信息；</w:t>
      </w:r>
    </w:p>
    <w:p w14:paraId="175128CC">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b. 信息范围不仅包含本项目的各种文件、技术资料等，还包含在双方合作或会议讨论过程中获得的关于</w:t>
      </w:r>
      <w:r>
        <w:rPr>
          <w:rFonts w:hint="eastAsia" w:ascii="宋体" w:hAnsi="宋体" w:eastAsia="宋体" w:cs="宋体"/>
          <w:strike w:val="0"/>
          <w:dstrike w:val="0"/>
          <w:color w:val="auto"/>
          <w:sz w:val="21"/>
          <w:szCs w:val="21"/>
          <w:highlight w:val="none"/>
          <w:u w:val="none"/>
          <w:shd w:val="clear" w:fill="auto"/>
          <w:lang w:val="zh-CN"/>
        </w:rPr>
        <w:t>受服务企业</w:t>
      </w:r>
      <w:r>
        <w:rPr>
          <w:rFonts w:hint="eastAsia" w:ascii="宋体" w:hAnsi="宋体" w:eastAsia="宋体" w:cs="宋体"/>
          <w:color w:val="auto"/>
          <w:sz w:val="21"/>
          <w:szCs w:val="21"/>
          <w:highlight w:val="none"/>
          <w:lang w:val="zh-CN"/>
        </w:rPr>
        <w:t>或其关联公司的其他财务、技术或商业信息。</w:t>
      </w:r>
    </w:p>
    <w:p w14:paraId="16D3A314">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 保密义务</w:t>
      </w:r>
    </w:p>
    <w:p w14:paraId="47F7AC42">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 项目未发布公告之前，不能泄露与此项目相关的招标情况。</w:t>
      </w:r>
    </w:p>
    <w:p w14:paraId="5508E3ED">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2.2 </w:t>
      </w:r>
      <w:r>
        <w:rPr>
          <w:rFonts w:hint="eastAsia" w:ascii="宋体" w:hAnsi="宋体" w:cs="宋体"/>
          <w:color w:val="auto"/>
          <w:sz w:val="21"/>
          <w:szCs w:val="21"/>
          <w:highlight w:val="none"/>
          <w:lang w:val="zh-CN"/>
        </w:rPr>
        <w:t>采购文件</w:t>
      </w:r>
      <w:r>
        <w:rPr>
          <w:rFonts w:hint="eastAsia" w:ascii="宋体" w:hAnsi="宋体" w:eastAsia="宋体" w:cs="宋体"/>
          <w:color w:val="auto"/>
          <w:sz w:val="21"/>
          <w:szCs w:val="21"/>
          <w:highlight w:val="none"/>
          <w:lang w:val="zh-CN"/>
        </w:rPr>
        <w:t>未</w:t>
      </w:r>
      <w:r>
        <w:rPr>
          <w:rFonts w:hint="eastAsia" w:ascii="宋体" w:hAnsi="宋体" w:eastAsia="宋体" w:cs="宋体"/>
          <w:strike w:val="0"/>
          <w:dstrike w:val="0"/>
          <w:color w:val="auto"/>
          <w:sz w:val="21"/>
          <w:szCs w:val="21"/>
          <w:highlight w:val="none"/>
          <w:u w:val="none"/>
          <w:shd w:val="clear" w:fill="auto"/>
          <w:lang w:val="zh-CN"/>
        </w:rPr>
        <w:t>出</w:t>
      </w:r>
      <w:r>
        <w:rPr>
          <w:rFonts w:hint="eastAsia" w:ascii="宋体" w:hAnsi="宋体" w:eastAsia="宋体" w:cs="宋体"/>
          <w:color w:val="auto"/>
          <w:sz w:val="21"/>
          <w:szCs w:val="21"/>
          <w:highlight w:val="none"/>
          <w:lang w:val="zh-CN"/>
        </w:rPr>
        <w:t>正式发布之前，不能泄露</w:t>
      </w:r>
      <w:r>
        <w:rPr>
          <w:rFonts w:hint="eastAsia" w:ascii="宋体" w:hAnsi="宋体" w:cs="宋体"/>
          <w:color w:val="auto"/>
          <w:sz w:val="21"/>
          <w:szCs w:val="21"/>
          <w:highlight w:val="none"/>
          <w:lang w:val="zh-CN"/>
        </w:rPr>
        <w:t>采购文件</w:t>
      </w:r>
      <w:r>
        <w:rPr>
          <w:rFonts w:hint="eastAsia" w:ascii="宋体" w:hAnsi="宋体" w:eastAsia="宋体" w:cs="宋体"/>
          <w:color w:val="auto"/>
          <w:sz w:val="21"/>
          <w:szCs w:val="21"/>
          <w:highlight w:val="none"/>
          <w:lang w:val="zh-CN"/>
        </w:rPr>
        <w:t>的具体内容。</w:t>
      </w:r>
    </w:p>
    <w:p w14:paraId="0A1085BB">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2.3 在参与</w:t>
      </w:r>
      <w:r>
        <w:rPr>
          <w:rFonts w:hint="eastAsia" w:ascii="宋体" w:hAnsi="宋体" w:eastAsia="宋体" w:cs="宋体"/>
          <w:strike w:val="0"/>
          <w:dstrike w:val="0"/>
          <w:color w:val="auto"/>
          <w:sz w:val="21"/>
          <w:szCs w:val="21"/>
          <w:highlight w:val="none"/>
          <w:u w:val="none"/>
          <w:shd w:val="clear" w:fill="auto"/>
          <w:lang w:val="zh-CN"/>
        </w:rPr>
        <w:t>受服务企业</w:t>
      </w:r>
      <w:r>
        <w:rPr>
          <w:rFonts w:hint="eastAsia" w:ascii="宋体" w:hAnsi="宋体" w:eastAsia="宋体" w:cs="宋体"/>
          <w:color w:val="auto"/>
          <w:sz w:val="21"/>
          <w:szCs w:val="21"/>
          <w:highlight w:val="none"/>
          <w:lang w:val="zh-CN"/>
        </w:rPr>
        <w:t>会议讨论阶段，不能向外透露会议的信息内容。</w:t>
      </w:r>
    </w:p>
    <w:p w14:paraId="2B964C9D">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2.4 向项目报名人提供项目必须配套资料时，必须要求报名人不能对外泄露项目资料与项目相关信息，否则追究报名人法律责任。</w:t>
      </w:r>
    </w:p>
    <w:p w14:paraId="19576B4C">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2.5项目发布前后，始终对保密资料保密，不在项目之外使用对方提供的保密信息及掌握的公司保密信息。</w:t>
      </w:r>
    </w:p>
    <w:p w14:paraId="6D72CF1A">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2.6未经</w:t>
      </w:r>
      <w:r>
        <w:rPr>
          <w:rFonts w:hint="eastAsia" w:ascii="宋体" w:hAnsi="宋体" w:eastAsia="宋体" w:cs="宋体"/>
          <w:strike w:val="0"/>
          <w:dstrike w:val="0"/>
          <w:color w:val="auto"/>
          <w:sz w:val="21"/>
          <w:szCs w:val="21"/>
          <w:highlight w:val="none"/>
          <w:u w:val="none"/>
          <w:shd w:val="clear" w:fill="auto"/>
          <w:lang w:val="zh-CN"/>
        </w:rPr>
        <w:t>受服务企业</w:t>
      </w:r>
      <w:r>
        <w:rPr>
          <w:rFonts w:hint="eastAsia" w:ascii="宋体" w:hAnsi="宋体" w:eastAsia="宋体" w:cs="宋体"/>
          <w:color w:val="auto"/>
          <w:sz w:val="21"/>
          <w:szCs w:val="21"/>
          <w:highlight w:val="none"/>
          <w:lang w:val="zh-CN"/>
        </w:rPr>
        <w:t>同意，不向任何第三方提供保密信息以及可以接触上述保密信息的手段，包括在公开场合展览，公开对外宣传，作为文章、讯息、参考数据发表。</w:t>
      </w:r>
    </w:p>
    <w:p w14:paraId="490D561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 返还信息</w:t>
      </w:r>
    </w:p>
    <w:p w14:paraId="230B1CD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任何时候，只要收到</w:t>
      </w:r>
      <w:r>
        <w:rPr>
          <w:rFonts w:hint="eastAsia" w:ascii="宋体" w:hAnsi="宋体" w:eastAsia="宋体" w:cs="宋体"/>
          <w:strike w:val="0"/>
          <w:dstrike w:val="0"/>
          <w:color w:val="auto"/>
          <w:sz w:val="21"/>
          <w:szCs w:val="21"/>
          <w:highlight w:val="none"/>
          <w:u w:val="none"/>
          <w:shd w:val="clear" w:fill="auto"/>
          <w:lang w:val="zh-CN"/>
        </w:rPr>
        <w:t>受服务企业</w:t>
      </w:r>
      <w:r>
        <w:rPr>
          <w:rFonts w:hint="eastAsia" w:ascii="宋体" w:hAnsi="宋体" w:eastAsia="宋体" w:cs="宋体"/>
          <w:color w:val="auto"/>
          <w:sz w:val="21"/>
          <w:szCs w:val="21"/>
          <w:highlight w:val="none"/>
          <w:lang w:val="zh-CN"/>
        </w:rPr>
        <w:t>的书面要求，承诺人应立即归还全部商业秘密资料和文件，包含该商业秘密资料的媒体及其任何或全部复印件或摘要。如果该技术资料属于不能归还的形式、或已经复制或转录到其他资料或载体中，则应删除。</w:t>
      </w:r>
    </w:p>
    <w:p w14:paraId="5D754A9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4．保密期限</w:t>
      </w:r>
    </w:p>
    <w:p w14:paraId="2A03193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本承诺书的保密期限，从签订起生效，无限期保密，直至</w:t>
      </w:r>
      <w:r>
        <w:rPr>
          <w:rFonts w:hint="eastAsia" w:ascii="宋体" w:hAnsi="宋体" w:eastAsia="宋体" w:cs="宋体"/>
          <w:strike w:val="0"/>
          <w:dstrike w:val="0"/>
          <w:color w:val="auto"/>
          <w:sz w:val="21"/>
          <w:szCs w:val="21"/>
          <w:highlight w:val="none"/>
          <w:u w:val="none"/>
          <w:shd w:val="clear" w:fill="auto"/>
          <w:lang w:val="zh-CN"/>
        </w:rPr>
        <w:t>受服务企业</w:t>
      </w:r>
      <w:r>
        <w:rPr>
          <w:rFonts w:hint="eastAsia" w:ascii="宋体" w:hAnsi="宋体" w:eastAsia="宋体" w:cs="宋体"/>
          <w:color w:val="auto"/>
          <w:sz w:val="21"/>
          <w:szCs w:val="21"/>
          <w:highlight w:val="none"/>
          <w:lang w:val="zh-CN"/>
        </w:rPr>
        <w:t>宣布解密或所获得的信息已经通过合法的方式为公众所知悉为止。</w:t>
      </w:r>
    </w:p>
    <w:p w14:paraId="6FB5EBE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zh-CN"/>
        </w:rPr>
        <w:t>、其他责任</w:t>
      </w:r>
    </w:p>
    <w:p w14:paraId="36CC2CF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保密期限内，因承诺人的泄密行为给</w:t>
      </w:r>
      <w:r>
        <w:rPr>
          <w:rFonts w:hint="eastAsia" w:ascii="宋体" w:hAnsi="宋体" w:eastAsia="宋体" w:cs="宋体"/>
          <w:strike w:val="0"/>
          <w:dstrike w:val="0"/>
          <w:color w:val="auto"/>
          <w:sz w:val="21"/>
          <w:szCs w:val="21"/>
          <w:highlight w:val="none"/>
          <w:u w:val="none"/>
          <w:shd w:val="clear" w:fill="auto"/>
          <w:lang w:val="zh-CN"/>
        </w:rPr>
        <w:t>受服务企业</w:t>
      </w:r>
      <w:r>
        <w:rPr>
          <w:rFonts w:hint="eastAsia" w:ascii="宋体" w:hAnsi="宋体" w:eastAsia="宋体" w:cs="宋体"/>
          <w:color w:val="auto"/>
          <w:sz w:val="21"/>
          <w:szCs w:val="21"/>
          <w:highlight w:val="none"/>
          <w:lang w:val="zh-CN"/>
        </w:rPr>
        <w:t>造成</w:t>
      </w:r>
      <w:r>
        <w:rPr>
          <w:rFonts w:hint="eastAsia" w:ascii="宋体" w:hAnsi="宋体" w:eastAsia="宋体" w:cs="宋体"/>
          <w:strike w:val="0"/>
          <w:dstrike w:val="0"/>
          <w:color w:val="auto"/>
          <w:sz w:val="21"/>
          <w:szCs w:val="21"/>
          <w:highlight w:val="none"/>
          <w:u w:val="none"/>
          <w:shd w:val="clear" w:fill="auto"/>
          <w:lang w:val="zh-CN"/>
        </w:rPr>
        <w:t>影响</w:t>
      </w:r>
      <w:r>
        <w:rPr>
          <w:rFonts w:hint="eastAsia" w:ascii="宋体" w:hAnsi="宋体" w:eastAsia="宋体" w:cs="宋体"/>
          <w:color w:val="auto"/>
          <w:sz w:val="21"/>
          <w:szCs w:val="21"/>
          <w:highlight w:val="none"/>
          <w:lang w:val="zh-CN"/>
        </w:rPr>
        <w:t>的，</w:t>
      </w:r>
      <w:r>
        <w:rPr>
          <w:rFonts w:hint="eastAsia" w:ascii="宋体" w:hAnsi="宋体" w:eastAsia="宋体" w:cs="宋体"/>
          <w:strike w:val="0"/>
          <w:dstrike w:val="0"/>
          <w:color w:val="auto"/>
          <w:sz w:val="21"/>
          <w:szCs w:val="21"/>
          <w:highlight w:val="none"/>
          <w:u w:val="none"/>
          <w:shd w:val="clear" w:fill="auto"/>
          <w:lang w:val="zh-CN"/>
        </w:rPr>
        <w:t>受服务企业</w:t>
      </w:r>
      <w:r>
        <w:rPr>
          <w:rFonts w:hint="eastAsia" w:ascii="宋体" w:hAnsi="宋体" w:eastAsia="宋体" w:cs="宋体"/>
          <w:color w:val="auto"/>
          <w:sz w:val="21"/>
          <w:szCs w:val="21"/>
          <w:highlight w:val="none"/>
          <w:lang w:val="zh-CN"/>
        </w:rPr>
        <w:t>有权按照法律法规的规定追究承诺人违约、侵权及刑事责任。</w:t>
      </w:r>
    </w:p>
    <w:p w14:paraId="0DE86C91">
      <w:pPr>
        <w:keepNext w:val="0"/>
        <w:keepLines w:val="0"/>
        <w:pageBreakBefore w:val="0"/>
        <w:widowControl/>
        <w:kinsoku/>
        <w:wordWrap/>
        <w:overflowPunct/>
        <w:topLinePunct w:val="0"/>
        <w:autoSpaceDE w:val="0"/>
        <w:autoSpaceDN w:val="0"/>
        <w:bidi w:val="0"/>
        <w:adjustRightInd w:val="0"/>
        <w:snapToGrid w:val="0"/>
        <w:spacing w:line="360" w:lineRule="auto"/>
        <w:ind w:firstLine="210" w:firstLineChars="1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w:t>
      </w:r>
      <w:r>
        <w:rPr>
          <w:rFonts w:hint="eastAsia" w:ascii="宋体" w:hAnsi="宋体" w:eastAsia="宋体" w:cs="宋体"/>
          <w:strike w:val="0"/>
          <w:dstrike w:val="0"/>
          <w:color w:val="auto"/>
          <w:sz w:val="21"/>
          <w:szCs w:val="21"/>
          <w:highlight w:val="none"/>
          <w:u w:val="none"/>
          <w:shd w:val="clear" w:fill="auto"/>
          <w:lang w:val="zh-CN"/>
        </w:rPr>
        <w:t>企业</w:t>
      </w:r>
      <w:r>
        <w:rPr>
          <w:rFonts w:hint="eastAsia" w:ascii="宋体" w:hAnsi="宋体" w:eastAsia="宋体" w:cs="宋体"/>
          <w:color w:val="auto"/>
          <w:sz w:val="21"/>
          <w:szCs w:val="21"/>
          <w:highlight w:val="none"/>
          <w:lang w:val="zh-CN"/>
        </w:rPr>
        <w:t>单位或本人已阅读，并理解和同意遵守本承诺书所有条款，如违反承诺，自愿承担党纪、政纪责任和任何相关法律后果。</w:t>
      </w:r>
    </w:p>
    <w:p w14:paraId="38F41E2A">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p>
    <w:p w14:paraId="03D7552B">
      <w:pPr>
        <w:keepNext w:val="0"/>
        <w:keepLines w:val="0"/>
        <w:pageBreakBefore w:val="0"/>
        <w:widowControl/>
        <w:kinsoku/>
        <w:wordWrap/>
        <w:overflowPunct/>
        <w:topLinePunct w:val="0"/>
        <w:autoSpaceDE w:val="0"/>
        <w:autoSpaceDN w:val="0"/>
        <w:bidi w:val="0"/>
        <w:adjustRightInd w:val="0"/>
        <w:snapToGrid w:val="0"/>
        <w:spacing w:line="360" w:lineRule="auto"/>
        <w:ind w:firstLine="3360" w:firstLineChars="16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承诺单位：（盖章）</w:t>
      </w:r>
    </w:p>
    <w:p w14:paraId="36727532">
      <w:pPr>
        <w:keepNext w:val="0"/>
        <w:keepLines w:val="0"/>
        <w:pageBreakBefore w:val="0"/>
        <w:widowControl/>
        <w:kinsoku/>
        <w:wordWrap/>
        <w:overflowPunct/>
        <w:topLinePunct w:val="0"/>
        <w:autoSpaceDE w:val="0"/>
        <w:autoSpaceDN w:val="0"/>
        <w:bidi w:val="0"/>
        <w:adjustRightInd w:val="0"/>
        <w:snapToGrid w:val="0"/>
        <w:spacing w:line="360" w:lineRule="auto"/>
        <w:ind w:firstLine="3360" w:firstLineChars="16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法人代表：（签名）</w:t>
      </w:r>
    </w:p>
    <w:p w14:paraId="107A2DFC">
      <w:pPr>
        <w:keepNext w:val="0"/>
        <w:keepLines w:val="0"/>
        <w:pageBreakBefore w:val="0"/>
        <w:widowControl/>
        <w:kinsoku/>
        <w:wordWrap/>
        <w:overflowPunct/>
        <w:topLinePunct w:val="0"/>
        <w:autoSpaceDE w:val="0"/>
        <w:autoSpaceDN w:val="0"/>
        <w:bidi w:val="0"/>
        <w:adjustRightInd w:val="0"/>
        <w:snapToGrid w:val="0"/>
        <w:spacing w:line="360" w:lineRule="auto"/>
        <w:ind w:firstLine="3360" w:firstLineChars="16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单位拟派人员：（签名）</w:t>
      </w:r>
    </w:p>
    <w:p w14:paraId="48E5E76E">
      <w:pPr>
        <w:keepNext w:val="0"/>
        <w:keepLines w:val="0"/>
        <w:pageBreakBefore w:val="0"/>
        <w:widowControl/>
        <w:kinsoku/>
        <w:wordWrap/>
        <w:overflowPunct/>
        <w:topLinePunct w:val="0"/>
        <w:autoSpaceDE w:val="0"/>
        <w:autoSpaceDN w:val="0"/>
        <w:bidi w:val="0"/>
        <w:adjustRightInd w:val="0"/>
        <w:snapToGrid w:val="0"/>
        <w:spacing w:line="360" w:lineRule="auto"/>
        <w:ind w:firstLine="3360" w:firstLineChars="1600"/>
        <w:textAlignment w:val="auto"/>
        <w:rPr>
          <w:color w:val="auto"/>
          <w:highlight w:val="none"/>
        </w:rPr>
      </w:pPr>
      <w:r>
        <w:rPr>
          <w:rFonts w:hint="eastAsia" w:ascii="宋体" w:hAnsi="宋体" w:eastAsia="宋体" w:cs="宋体"/>
          <w:color w:val="auto"/>
          <w:sz w:val="21"/>
          <w:szCs w:val="21"/>
          <w:highlight w:val="none"/>
          <w:lang w:val="zh-CN"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 xml:space="preserve">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eastAsia="zh-CN"/>
        </w:rPr>
        <w:t xml:space="preserve"> </w:t>
      </w:r>
      <w:r>
        <w:rPr>
          <w:rFonts w:hint="eastAsia" w:ascii="宋体" w:hAnsi="宋体" w:eastAsia="宋体" w:cs="宋体"/>
          <w:color w:val="auto"/>
          <w:sz w:val="21"/>
          <w:szCs w:val="21"/>
          <w:highlight w:val="none"/>
          <w:lang w:val="zh-CN"/>
        </w:rPr>
        <w:t xml:space="preserve">月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eastAsia="zh-CN"/>
        </w:rPr>
        <w:t xml:space="preserve"> </w:t>
      </w:r>
      <w:r>
        <w:rPr>
          <w:rFonts w:hint="eastAsia" w:ascii="宋体" w:hAnsi="宋体" w:eastAsia="宋体" w:cs="宋体"/>
          <w:color w:val="auto"/>
          <w:sz w:val="21"/>
          <w:szCs w:val="21"/>
          <w:highlight w:val="none"/>
          <w:lang w:val="zh-CN"/>
        </w:rPr>
        <w:t>日</w:t>
      </w:r>
    </w:p>
    <w:p w14:paraId="40A45791">
      <w:pPr>
        <w:pStyle w:val="22"/>
        <w:rPr>
          <w:color w:val="auto"/>
          <w:highlight w:val="none"/>
        </w:rPr>
      </w:pPr>
    </w:p>
    <w:p w14:paraId="113D001B">
      <w:pPr>
        <w:rPr>
          <w:color w:val="auto"/>
          <w:highlight w:val="none"/>
        </w:rPr>
      </w:pPr>
      <w:r>
        <w:rPr>
          <w:color w:val="auto"/>
          <w:highlight w:val="none"/>
        </w:rPr>
        <w:br w:type="page"/>
      </w:r>
    </w:p>
    <w:p w14:paraId="6C145F90">
      <w:pPr>
        <w:pStyle w:val="11"/>
        <w:bidi w:val="0"/>
        <w:rPr>
          <w:rFonts w:hint="eastAsia" w:ascii="宋体" w:hAnsi="宋体" w:eastAsia="宋体" w:cs="宋体"/>
          <w:b/>
          <w:bCs/>
          <w:color w:val="000000"/>
          <w:kern w:val="2"/>
          <w:sz w:val="28"/>
          <w:szCs w:val="44"/>
          <w:highlight w:val="none"/>
          <w:lang w:val="en-US" w:eastAsia="zh-CN" w:bidi="ar-SA"/>
        </w:rPr>
      </w:pPr>
      <w:r>
        <w:rPr>
          <w:rFonts w:hint="eastAsia"/>
          <w:highlight w:val="none"/>
          <w:lang w:val="en-US" w:eastAsia="zh-CN"/>
        </w:rPr>
        <w:t>合同</w:t>
      </w:r>
      <w:r>
        <w:rPr>
          <w:rFonts w:hint="eastAsia"/>
          <w:highlight w:val="none"/>
        </w:rPr>
        <w:t>附件</w:t>
      </w:r>
      <w:r>
        <w:rPr>
          <w:rFonts w:hint="eastAsia"/>
          <w:highlight w:val="none"/>
          <w:lang w:val="en-US" w:eastAsia="zh-CN"/>
        </w:rPr>
        <w:t>3</w:t>
      </w:r>
    </w:p>
    <w:p w14:paraId="50DE9B0B">
      <w:pPr>
        <w:bidi w:val="0"/>
        <w:jc w:val="center"/>
        <w:rPr>
          <w:rFonts w:hint="eastAsia"/>
          <w:b/>
          <w:bCs/>
          <w:sz w:val="28"/>
          <w:szCs w:val="24"/>
          <w:highlight w:val="none"/>
        </w:rPr>
      </w:pPr>
      <w:r>
        <w:rPr>
          <w:rFonts w:hint="eastAsia"/>
          <w:b/>
          <w:bCs/>
          <w:sz w:val="28"/>
          <w:szCs w:val="24"/>
          <w:highlight w:val="none"/>
        </w:rPr>
        <w:t>投入本合同下项目服务人员配置一览表</w:t>
      </w:r>
    </w:p>
    <w:tbl>
      <w:tblPr>
        <w:tblStyle w:val="29"/>
        <w:tblW w:w="8851" w:type="dxa"/>
        <w:jc w:val="center"/>
        <w:tblLayout w:type="fixed"/>
        <w:tblCellMar>
          <w:top w:w="0" w:type="dxa"/>
          <w:left w:w="108" w:type="dxa"/>
          <w:bottom w:w="0" w:type="dxa"/>
          <w:right w:w="108" w:type="dxa"/>
        </w:tblCellMar>
      </w:tblPr>
      <w:tblGrid>
        <w:gridCol w:w="532"/>
        <w:gridCol w:w="1064"/>
        <w:gridCol w:w="1479"/>
        <w:gridCol w:w="909"/>
        <w:gridCol w:w="1071"/>
        <w:gridCol w:w="1440"/>
        <w:gridCol w:w="1080"/>
        <w:gridCol w:w="1276"/>
      </w:tblGrid>
      <w:tr w14:paraId="5F188BB1">
        <w:tblPrEx>
          <w:tblCellMar>
            <w:top w:w="0" w:type="dxa"/>
            <w:left w:w="108" w:type="dxa"/>
            <w:bottom w:w="0" w:type="dxa"/>
            <w:right w:w="108" w:type="dxa"/>
          </w:tblCellMar>
        </w:tblPrEx>
        <w:trPr>
          <w:trHeight w:val="525" w:hRule="atLeast"/>
          <w:jc w:val="center"/>
        </w:trPr>
        <w:tc>
          <w:tcPr>
            <w:tcW w:w="3984" w:type="dxa"/>
            <w:gridSpan w:val="4"/>
            <w:tcBorders>
              <w:top w:val="nil"/>
              <w:left w:val="nil"/>
              <w:bottom w:val="single" w:color="auto" w:sz="4" w:space="0"/>
              <w:right w:val="nil"/>
            </w:tcBorders>
            <w:noWrap w:val="0"/>
            <w:vAlign w:val="center"/>
          </w:tcPr>
          <w:p w14:paraId="6C92AF82">
            <w:pPr>
              <w:widowControl/>
              <w:spacing w:line="360" w:lineRule="auto"/>
              <w:rPr>
                <w:rFonts w:hAnsi="宋体" w:cs="宋体"/>
                <w:color w:val="auto"/>
                <w:szCs w:val="21"/>
                <w:highlight w:val="none"/>
              </w:rPr>
            </w:pPr>
            <w:r>
              <w:rPr>
                <w:rFonts w:hint="eastAsia" w:hAnsi="宋体" w:cs="宋体"/>
                <w:color w:val="auto"/>
                <w:szCs w:val="21"/>
                <w:highlight w:val="none"/>
              </w:rPr>
              <w:t>单位盖章</w:t>
            </w:r>
            <w:r>
              <w:rPr>
                <w:rFonts w:hAnsi="宋体" w:cs="宋体"/>
                <w:color w:val="auto"/>
                <w:szCs w:val="21"/>
                <w:highlight w:val="none"/>
              </w:rPr>
              <w:t>(                )</w:t>
            </w:r>
          </w:p>
        </w:tc>
        <w:tc>
          <w:tcPr>
            <w:tcW w:w="1071" w:type="dxa"/>
            <w:tcBorders>
              <w:top w:val="nil"/>
              <w:left w:val="nil"/>
              <w:bottom w:val="single" w:color="auto" w:sz="4" w:space="0"/>
              <w:right w:val="nil"/>
            </w:tcBorders>
            <w:noWrap w:val="0"/>
            <w:vAlign w:val="center"/>
          </w:tcPr>
          <w:p w14:paraId="77056859">
            <w:pPr>
              <w:widowControl/>
              <w:spacing w:line="360" w:lineRule="auto"/>
              <w:jc w:val="center"/>
              <w:rPr>
                <w:rFonts w:hAnsi="宋体" w:cs="宋体"/>
                <w:b/>
                <w:bCs/>
                <w:color w:val="auto"/>
                <w:szCs w:val="21"/>
                <w:highlight w:val="none"/>
                <w:u w:val="single"/>
              </w:rPr>
            </w:pPr>
          </w:p>
        </w:tc>
        <w:tc>
          <w:tcPr>
            <w:tcW w:w="1440" w:type="dxa"/>
            <w:tcBorders>
              <w:top w:val="nil"/>
              <w:left w:val="nil"/>
              <w:bottom w:val="single" w:color="auto" w:sz="4" w:space="0"/>
              <w:right w:val="nil"/>
            </w:tcBorders>
            <w:noWrap w:val="0"/>
            <w:vAlign w:val="center"/>
          </w:tcPr>
          <w:p w14:paraId="0B9D0D24">
            <w:pPr>
              <w:widowControl/>
              <w:spacing w:line="360" w:lineRule="auto"/>
              <w:jc w:val="center"/>
              <w:rPr>
                <w:rFonts w:hAnsi="宋体" w:cs="宋体"/>
                <w:b/>
                <w:bCs/>
                <w:color w:val="auto"/>
                <w:szCs w:val="21"/>
                <w:highlight w:val="none"/>
                <w:u w:val="single"/>
              </w:rPr>
            </w:pPr>
          </w:p>
        </w:tc>
        <w:tc>
          <w:tcPr>
            <w:tcW w:w="1080" w:type="dxa"/>
            <w:tcBorders>
              <w:top w:val="nil"/>
              <w:left w:val="nil"/>
              <w:bottom w:val="single" w:color="auto" w:sz="4" w:space="0"/>
              <w:right w:val="nil"/>
            </w:tcBorders>
            <w:noWrap w:val="0"/>
            <w:vAlign w:val="center"/>
          </w:tcPr>
          <w:p w14:paraId="6C060715">
            <w:pPr>
              <w:widowControl/>
              <w:spacing w:line="360" w:lineRule="auto"/>
              <w:jc w:val="center"/>
              <w:rPr>
                <w:rFonts w:hAnsi="宋体" w:cs="宋体"/>
                <w:b/>
                <w:bCs/>
                <w:color w:val="auto"/>
                <w:szCs w:val="21"/>
                <w:highlight w:val="none"/>
                <w:u w:val="single"/>
              </w:rPr>
            </w:pPr>
          </w:p>
        </w:tc>
        <w:tc>
          <w:tcPr>
            <w:tcW w:w="1276" w:type="dxa"/>
            <w:tcBorders>
              <w:top w:val="nil"/>
              <w:left w:val="nil"/>
              <w:bottom w:val="single" w:color="auto" w:sz="4" w:space="0"/>
              <w:right w:val="nil"/>
            </w:tcBorders>
            <w:noWrap w:val="0"/>
            <w:vAlign w:val="center"/>
          </w:tcPr>
          <w:p w14:paraId="358C79EF">
            <w:pPr>
              <w:widowControl/>
              <w:spacing w:line="360" w:lineRule="auto"/>
              <w:jc w:val="center"/>
              <w:rPr>
                <w:rFonts w:hAnsi="宋体" w:cs="宋体"/>
                <w:b/>
                <w:bCs/>
                <w:color w:val="auto"/>
                <w:szCs w:val="21"/>
                <w:highlight w:val="none"/>
                <w:u w:val="single"/>
              </w:rPr>
            </w:pPr>
          </w:p>
        </w:tc>
      </w:tr>
      <w:tr w14:paraId="733506F5">
        <w:tblPrEx>
          <w:tblCellMar>
            <w:top w:w="0" w:type="dxa"/>
            <w:left w:w="108" w:type="dxa"/>
            <w:bottom w:w="0" w:type="dxa"/>
            <w:right w:w="108" w:type="dxa"/>
          </w:tblCellMar>
        </w:tblPrEx>
        <w:trPr>
          <w:trHeight w:val="645" w:hRule="atLeast"/>
          <w:jc w:val="center"/>
        </w:trPr>
        <w:tc>
          <w:tcPr>
            <w:tcW w:w="532" w:type="dxa"/>
            <w:tcBorders>
              <w:top w:val="nil"/>
              <w:left w:val="single" w:color="auto" w:sz="4" w:space="0"/>
              <w:bottom w:val="single" w:color="auto" w:sz="4" w:space="0"/>
              <w:right w:val="single" w:color="auto" w:sz="4" w:space="0"/>
            </w:tcBorders>
            <w:noWrap w:val="0"/>
            <w:vAlign w:val="center"/>
          </w:tcPr>
          <w:p w14:paraId="5B258FC2">
            <w:pPr>
              <w:widowControl/>
              <w:spacing w:line="360" w:lineRule="auto"/>
              <w:jc w:val="center"/>
              <w:rPr>
                <w:rFonts w:hAnsi="宋体" w:cs="宋体"/>
                <w:color w:val="auto"/>
                <w:szCs w:val="21"/>
                <w:highlight w:val="none"/>
              </w:rPr>
            </w:pPr>
            <w:r>
              <w:rPr>
                <w:rFonts w:hint="eastAsia" w:hAnsi="宋体" w:cs="宋体"/>
                <w:color w:val="auto"/>
                <w:szCs w:val="21"/>
                <w:highlight w:val="none"/>
              </w:rPr>
              <w:t>序号</w:t>
            </w:r>
          </w:p>
        </w:tc>
        <w:tc>
          <w:tcPr>
            <w:tcW w:w="1064" w:type="dxa"/>
            <w:tcBorders>
              <w:top w:val="nil"/>
              <w:left w:val="nil"/>
              <w:bottom w:val="nil"/>
              <w:right w:val="single" w:color="000000" w:sz="4" w:space="0"/>
            </w:tcBorders>
            <w:noWrap w:val="0"/>
            <w:vAlign w:val="center"/>
          </w:tcPr>
          <w:p w14:paraId="1B782C47">
            <w:pPr>
              <w:widowControl/>
              <w:spacing w:line="360" w:lineRule="auto"/>
              <w:jc w:val="center"/>
              <w:rPr>
                <w:rFonts w:hAnsi="宋体" w:cs="宋体"/>
                <w:color w:val="auto"/>
                <w:szCs w:val="21"/>
                <w:highlight w:val="none"/>
              </w:rPr>
            </w:pPr>
            <w:r>
              <w:rPr>
                <w:rFonts w:hint="eastAsia" w:hAnsi="宋体" w:cs="宋体"/>
                <w:color w:val="auto"/>
                <w:szCs w:val="21"/>
                <w:highlight w:val="none"/>
              </w:rPr>
              <w:t>专业人员</w:t>
            </w:r>
          </w:p>
        </w:tc>
        <w:tc>
          <w:tcPr>
            <w:tcW w:w="1479" w:type="dxa"/>
            <w:tcBorders>
              <w:top w:val="nil"/>
              <w:left w:val="nil"/>
              <w:bottom w:val="single" w:color="auto" w:sz="4" w:space="0"/>
              <w:right w:val="single" w:color="auto" w:sz="4" w:space="0"/>
            </w:tcBorders>
            <w:noWrap w:val="0"/>
            <w:vAlign w:val="center"/>
          </w:tcPr>
          <w:p w14:paraId="376EC1FA">
            <w:pPr>
              <w:widowControl/>
              <w:spacing w:line="360" w:lineRule="auto"/>
              <w:jc w:val="center"/>
              <w:rPr>
                <w:rFonts w:hAnsi="宋体" w:cs="宋体"/>
                <w:color w:val="auto"/>
                <w:szCs w:val="21"/>
                <w:highlight w:val="none"/>
              </w:rPr>
            </w:pPr>
            <w:r>
              <w:rPr>
                <w:rFonts w:hint="eastAsia" w:hAnsi="宋体" w:cs="宋体"/>
                <w:color w:val="auto"/>
                <w:szCs w:val="21"/>
                <w:highlight w:val="none"/>
              </w:rPr>
              <w:t>姓名</w:t>
            </w:r>
          </w:p>
        </w:tc>
        <w:tc>
          <w:tcPr>
            <w:tcW w:w="909" w:type="dxa"/>
            <w:tcBorders>
              <w:top w:val="nil"/>
              <w:left w:val="nil"/>
              <w:bottom w:val="single" w:color="auto" w:sz="4" w:space="0"/>
              <w:right w:val="single" w:color="auto" w:sz="4" w:space="0"/>
            </w:tcBorders>
            <w:noWrap w:val="0"/>
            <w:vAlign w:val="center"/>
          </w:tcPr>
          <w:p w14:paraId="29D727E2">
            <w:pPr>
              <w:widowControl/>
              <w:spacing w:line="360" w:lineRule="auto"/>
              <w:jc w:val="center"/>
              <w:rPr>
                <w:rFonts w:hAnsi="宋体" w:cs="宋体"/>
                <w:color w:val="auto"/>
                <w:szCs w:val="21"/>
                <w:highlight w:val="none"/>
              </w:rPr>
            </w:pPr>
            <w:r>
              <w:rPr>
                <w:rFonts w:hint="eastAsia" w:hAnsi="宋体" w:cs="宋体"/>
                <w:color w:val="auto"/>
                <w:szCs w:val="21"/>
                <w:highlight w:val="none"/>
              </w:rPr>
              <w:t>年龄</w:t>
            </w:r>
          </w:p>
        </w:tc>
        <w:tc>
          <w:tcPr>
            <w:tcW w:w="1071" w:type="dxa"/>
            <w:tcBorders>
              <w:top w:val="nil"/>
              <w:left w:val="nil"/>
              <w:bottom w:val="single" w:color="auto" w:sz="4" w:space="0"/>
              <w:right w:val="single" w:color="auto" w:sz="4" w:space="0"/>
            </w:tcBorders>
            <w:noWrap w:val="0"/>
            <w:vAlign w:val="center"/>
          </w:tcPr>
          <w:p w14:paraId="3A4314AE">
            <w:pPr>
              <w:widowControl/>
              <w:spacing w:line="360" w:lineRule="auto"/>
              <w:jc w:val="center"/>
              <w:rPr>
                <w:rFonts w:hAnsi="宋体" w:cs="宋体"/>
                <w:color w:val="auto"/>
                <w:szCs w:val="21"/>
                <w:highlight w:val="none"/>
              </w:rPr>
            </w:pPr>
            <w:r>
              <w:rPr>
                <w:rFonts w:hint="eastAsia" w:hAnsi="宋体" w:cs="宋体"/>
                <w:color w:val="auto"/>
                <w:szCs w:val="21"/>
                <w:highlight w:val="none"/>
              </w:rPr>
              <w:t>职称或资格</w:t>
            </w:r>
          </w:p>
        </w:tc>
        <w:tc>
          <w:tcPr>
            <w:tcW w:w="1440" w:type="dxa"/>
            <w:tcBorders>
              <w:top w:val="nil"/>
              <w:left w:val="nil"/>
              <w:bottom w:val="single" w:color="auto" w:sz="4" w:space="0"/>
              <w:right w:val="single" w:color="auto" w:sz="4" w:space="0"/>
            </w:tcBorders>
            <w:noWrap w:val="0"/>
            <w:vAlign w:val="center"/>
          </w:tcPr>
          <w:p w14:paraId="5D6224AD">
            <w:pPr>
              <w:widowControl/>
              <w:spacing w:line="360" w:lineRule="auto"/>
              <w:jc w:val="center"/>
              <w:rPr>
                <w:rFonts w:hAnsi="宋体" w:cs="宋体"/>
                <w:color w:val="auto"/>
                <w:szCs w:val="21"/>
                <w:highlight w:val="none"/>
              </w:rPr>
            </w:pPr>
            <w:r>
              <w:rPr>
                <w:rFonts w:hint="eastAsia" w:hAnsi="宋体" w:cs="宋体"/>
                <w:color w:val="auto"/>
                <w:szCs w:val="21"/>
                <w:highlight w:val="none"/>
              </w:rPr>
              <w:t>执业资格注册编号</w:t>
            </w:r>
          </w:p>
        </w:tc>
        <w:tc>
          <w:tcPr>
            <w:tcW w:w="1080" w:type="dxa"/>
            <w:tcBorders>
              <w:top w:val="nil"/>
              <w:left w:val="nil"/>
              <w:bottom w:val="single" w:color="auto" w:sz="4" w:space="0"/>
              <w:right w:val="single" w:color="auto" w:sz="4" w:space="0"/>
            </w:tcBorders>
            <w:noWrap w:val="0"/>
            <w:vAlign w:val="center"/>
          </w:tcPr>
          <w:p w14:paraId="160FD06E">
            <w:pPr>
              <w:widowControl/>
              <w:spacing w:line="360" w:lineRule="auto"/>
              <w:jc w:val="center"/>
              <w:rPr>
                <w:rFonts w:hAnsi="宋体" w:cs="宋体"/>
                <w:color w:val="auto"/>
                <w:szCs w:val="21"/>
                <w:highlight w:val="none"/>
              </w:rPr>
            </w:pPr>
            <w:r>
              <w:rPr>
                <w:rFonts w:hint="eastAsia" w:hAnsi="宋体" w:cs="宋体"/>
                <w:color w:val="auto"/>
                <w:szCs w:val="21"/>
                <w:highlight w:val="none"/>
              </w:rPr>
              <w:t>专业</w:t>
            </w:r>
          </w:p>
        </w:tc>
        <w:tc>
          <w:tcPr>
            <w:tcW w:w="1276" w:type="dxa"/>
            <w:tcBorders>
              <w:top w:val="nil"/>
              <w:left w:val="nil"/>
              <w:bottom w:val="single" w:color="auto" w:sz="4" w:space="0"/>
              <w:right w:val="single" w:color="auto" w:sz="4" w:space="0"/>
            </w:tcBorders>
            <w:noWrap w:val="0"/>
            <w:vAlign w:val="center"/>
          </w:tcPr>
          <w:p w14:paraId="548854D4">
            <w:pPr>
              <w:widowControl/>
              <w:spacing w:line="360" w:lineRule="auto"/>
              <w:jc w:val="center"/>
              <w:rPr>
                <w:rFonts w:hAnsi="宋体" w:cs="宋体"/>
                <w:color w:val="auto"/>
                <w:szCs w:val="21"/>
                <w:highlight w:val="none"/>
              </w:rPr>
            </w:pPr>
            <w:r>
              <w:rPr>
                <w:rFonts w:hint="eastAsia" w:hAnsi="宋体" w:cs="宋体"/>
                <w:color w:val="auto"/>
                <w:szCs w:val="21"/>
                <w:highlight w:val="none"/>
              </w:rPr>
              <w:t>联系电话（手机）</w:t>
            </w:r>
          </w:p>
        </w:tc>
      </w:tr>
      <w:tr w14:paraId="6F34FBBB">
        <w:tblPrEx>
          <w:tblCellMar>
            <w:top w:w="0" w:type="dxa"/>
            <w:left w:w="108" w:type="dxa"/>
            <w:bottom w:w="0" w:type="dxa"/>
            <w:right w:w="108" w:type="dxa"/>
          </w:tblCellMar>
        </w:tblPrEx>
        <w:trPr>
          <w:trHeight w:val="601" w:hRule="atLeast"/>
          <w:jc w:val="center"/>
        </w:trPr>
        <w:tc>
          <w:tcPr>
            <w:tcW w:w="532" w:type="dxa"/>
            <w:tcBorders>
              <w:top w:val="nil"/>
              <w:left w:val="single" w:color="auto" w:sz="4" w:space="0"/>
              <w:bottom w:val="nil"/>
              <w:right w:val="single" w:color="auto" w:sz="4" w:space="0"/>
            </w:tcBorders>
            <w:noWrap w:val="0"/>
            <w:vAlign w:val="center"/>
          </w:tcPr>
          <w:p w14:paraId="643B5037">
            <w:pPr>
              <w:widowControl/>
              <w:spacing w:line="360" w:lineRule="auto"/>
              <w:jc w:val="center"/>
              <w:rPr>
                <w:rFonts w:hAnsi="宋体" w:cs="宋体"/>
                <w:color w:val="auto"/>
                <w:szCs w:val="21"/>
                <w:highlight w:val="none"/>
              </w:rPr>
            </w:pPr>
            <w:r>
              <w:rPr>
                <w:rFonts w:hint="eastAsia" w:hAnsi="宋体" w:cs="宋体"/>
                <w:color w:val="auto"/>
                <w:szCs w:val="21"/>
                <w:highlight w:val="none"/>
              </w:rPr>
              <w:t>一</w:t>
            </w:r>
          </w:p>
        </w:tc>
        <w:tc>
          <w:tcPr>
            <w:tcW w:w="1064" w:type="dxa"/>
            <w:tcBorders>
              <w:top w:val="single" w:color="auto" w:sz="4" w:space="0"/>
              <w:left w:val="nil"/>
              <w:bottom w:val="single" w:color="auto" w:sz="4" w:space="0"/>
              <w:right w:val="single" w:color="000000" w:sz="4" w:space="0"/>
            </w:tcBorders>
            <w:noWrap w:val="0"/>
            <w:vAlign w:val="center"/>
          </w:tcPr>
          <w:p w14:paraId="016E1BFF">
            <w:pPr>
              <w:widowControl/>
              <w:spacing w:line="360" w:lineRule="auto"/>
              <w:jc w:val="center"/>
              <w:rPr>
                <w:rFonts w:hAnsi="宋体" w:cs="宋体"/>
                <w:color w:val="auto"/>
                <w:szCs w:val="21"/>
                <w:highlight w:val="none"/>
              </w:rPr>
            </w:pPr>
            <w:r>
              <w:rPr>
                <w:rFonts w:hint="eastAsia" w:hAnsi="宋体" w:cs="宋体"/>
                <w:color w:val="auto"/>
                <w:szCs w:val="21"/>
                <w:highlight w:val="none"/>
              </w:rPr>
              <w:t>项目负责人</w:t>
            </w:r>
          </w:p>
        </w:tc>
        <w:tc>
          <w:tcPr>
            <w:tcW w:w="1479" w:type="dxa"/>
            <w:tcBorders>
              <w:top w:val="nil"/>
              <w:left w:val="nil"/>
              <w:bottom w:val="single" w:color="auto" w:sz="4" w:space="0"/>
              <w:right w:val="single" w:color="auto" w:sz="4" w:space="0"/>
            </w:tcBorders>
            <w:noWrap w:val="0"/>
            <w:vAlign w:val="center"/>
          </w:tcPr>
          <w:p w14:paraId="4915F0F5">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909" w:type="dxa"/>
            <w:tcBorders>
              <w:top w:val="nil"/>
              <w:left w:val="nil"/>
              <w:bottom w:val="single" w:color="auto" w:sz="4" w:space="0"/>
              <w:right w:val="single" w:color="auto" w:sz="4" w:space="0"/>
            </w:tcBorders>
            <w:noWrap w:val="0"/>
            <w:vAlign w:val="center"/>
          </w:tcPr>
          <w:p w14:paraId="1654DB8E">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71" w:type="dxa"/>
            <w:tcBorders>
              <w:top w:val="nil"/>
              <w:left w:val="nil"/>
              <w:bottom w:val="single" w:color="auto" w:sz="4" w:space="0"/>
              <w:right w:val="single" w:color="auto" w:sz="4" w:space="0"/>
            </w:tcBorders>
            <w:noWrap w:val="0"/>
            <w:vAlign w:val="center"/>
          </w:tcPr>
          <w:p w14:paraId="41AAAF10">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440" w:type="dxa"/>
            <w:tcBorders>
              <w:top w:val="nil"/>
              <w:left w:val="nil"/>
              <w:bottom w:val="single" w:color="auto" w:sz="4" w:space="0"/>
              <w:right w:val="single" w:color="auto" w:sz="4" w:space="0"/>
            </w:tcBorders>
            <w:noWrap w:val="0"/>
            <w:vAlign w:val="center"/>
          </w:tcPr>
          <w:p w14:paraId="31C802D1">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80" w:type="dxa"/>
            <w:tcBorders>
              <w:top w:val="nil"/>
              <w:left w:val="nil"/>
              <w:bottom w:val="single" w:color="auto" w:sz="4" w:space="0"/>
              <w:right w:val="single" w:color="auto" w:sz="4" w:space="0"/>
            </w:tcBorders>
            <w:noWrap w:val="0"/>
            <w:vAlign w:val="center"/>
          </w:tcPr>
          <w:p w14:paraId="30103541">
            <w:pPr>
              <w:widowControl/>
              <w:spacing w:after="120" w:line="360" w:lineRule="auto"/>
              <w:ind w:firstLine="210" w:firstLineChars="100"/>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276" w:type="dxa"/>
            <w:tcBorders>
              <w:top w:val="nil"/>
              <w:left w:val="nil"/>
              <w:bottom w:val="single" w:color="auto" w:sz="4" w:space="0"/>
              <w:right w:val="single" w:color="auto" w:sz="4" w:space="0"/>
            </w:tcBorders>
            <w:noWrap w:val="0"/>
            <w:vAlign w:val="center"/>
          </w:tcPr>
          <w:p w14:paraId="54F63924">
            <w:pPr>
              <w:widowControl/>
              <w:spacing w:after="120" w:line="360" w:lineRule="auto"/>
              <w:ind w:firstLine="210" w:firstLineChars="100"/>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r>
      <w:tr w14:paraId="6D831946">
        <w:tblPrEx>
          <w:tblCellMar>
            <w:top w:w="0" w:type="dxa"/>
            <w:left w:w="108" w:type="dxa"/>
            <w:bottom w:w="0" w:type="dxa"/>
            <w:right w:w="108" w:type="dxa"/>
          </w:tblCellMar>
        </w:tblPrEx>
        <w:trPr>
          <w:cantSplit/>
          <w:trHeight w:val="375" w:hRule="atLeast"/>
          <w:jc w:val="center"/>
        </w:trPr>
        <w:tc>
          <w:tcPr>
            <w:tcW w:w="532" w:type="dxa"/>
            <w:vMerge w:val="restart"/>
            <w:tcBorders>
              <w:top w:val="single" w:color="auto" w:sz="4" w:space="0"/>
              <w:left w:val="single" w:color="auto" w:sz="4" w:space="0"/>
              <w:bottom w:val="nil"/>
              <w:right w:val="single" w:color="auto" w:sz="4" w:space="0"/>
            </w:tcBorders>
            <w:noWrap w:val="0"/>
            <w:vAlign w:val="center"/>
          </w:tcPr>
          <w:p w14:paraId="691961B1">
            <w:pPr>
              <w:widowControl/>
              <w:spacing w:after="120" w:line="360" w:lineRule="auto"/>
              <w:ind w:firstLine="210" w:firstLineChars="100"/>
              <w:jc w:val="center"/>
              <w:rPr>
                <w:rFonts w:hAnsi="宋体" w:cs="宋体"/>
                <w:color w:val="auto"/>
                <w:szCs w:val="21"/>
                <w:highlight w:val="none"/>
              </w:rPr>
            </w:pPr>
            <w:r>
              <w:rPr>
                <w:rFonts w:hint="eastAsia" w:hAnsi="宋体" w:cs="宋体"/>
                <w:color w:val="auto"/>
                <w:szCs w:val="21"/>
                <w:highlight w:val="none"/>
              </w:rPr>
              <w:t>二</w:t>
            </w:r>
          </w:p>
        </w:tc>
        <w:tc>
          <w:tcPr>
            <w:tcW w:w="1064" w:type="dxa"/>
            <w:vMerge w:val="restart"/>
            <w:tcBorders>
              <w:top w:val="nil"/>
              <w:left w:val="single" w:color="auto" w:sz="4" w:space="0"/>
              <w:bottom w:val="single" w:color="000000" w:sz="4" w:space="0"/>
              <w:right w:val="single" w:color="auto" w:sz="4" w:space="0"/>
            </w:tcBorders>
            <w:noWrap w:val="0"/>
            <w:vAlign w:val="center"/>
          </w:tcPr>
          <w:p w14:paraId="4371F4AB">
            <w:pPr>
              <w:widowControl/>
              <w:spacing w:after="120" w:line="360" w:lineRule="auto"/>
              <w:ind w:firstLine="210" w:firstLineChars="100"/>
              <w:jc w:val="center"/>
              <w:rPr>
                <w:rFonts w:hAnsi="宋体" w:cs="宋体"/>
                <w:color w:val="auto"/>
                <w:szCs w:val="21"/>
                <w:highlight w:val="none"/>
              </w:rPr>
            </w:pPr>
            <w:r>
              <w:rPr>
                <w:rFonts w:hint="eastAsia" w:hAnsi="宋体" w:cs="宋体"/>
                <w:color w:val="auto"/>
                <w:szCs w:val="21"/>
                <w:highlight w:val="none"/>
              </w:rPr>
              <w:t>专业造价工程师</w:t>
            </w:r>
          </w:p>
          <w:p w14:paraId="70B3B5B9">
            <w:pPr>
              <w:spacing w:line="360" w:lineRule="auto"/>
              <w:jc w:val="center"/>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15F48313">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909" w:type="dxa"/>
            <w:tcBorders>
              <w:top w:val="nil"/>
              <w:left w:val="nil"/>
              <w:bottom w:val="single" w:color="auto" w:sz="4" w:space="0"/>
              <w:right w:val="single" w:color="auto" w:sz="4" w:space="0"/>
            </w:tcBorders>
            <w:noWrap w:val="0"/>
            <w:vAlign w:val="center"/>
          </w:tcPr>
          <w:p w14:paraId="6579D187">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71" w:type="dxa"/>
            <w:tcBorders>
              <w:top w:val="nil"/>
              <w:left w:val="nil"/>
              <w:bottom w:val="single" w:color="auto" w:sz="4" w:space="0"/>
              <w:right w:val="single" w:color="auto" w:sz="4" w:space="0"/>
            </w:tcBorders>
            <w:noWrap w:val="0"/>
            <w:vAlign w:val="center"/>
          </w:tcPr>
          <w:p w14:paraId="28425B59">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440" w:type="dxa"/>
            <w:tcBorders>
              <w:top w:val="nil"/>
              <w:left w:val="nil"/>
              <w:bottom w:val="single" w:color="auto" w:sz="4" w:space="0"/>
              <w:right w:val="single" w:color="auto" w:sz="4" w:space="0"/>
            </w:tcBorders>
            <w:noWrap w:val="0"/>
            <w:vAlign w:val="center"/>
          </w:tcPr>
          <w:p w14:paraId="20731775">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80" w:type="dxa"/>
            <w:tcBorders>
              <w:top w:val="nil"/>
              <w:left w:val="nil"/>
              <w:bottom w:val="single" w:color="auto" w:sz="4" w:space="0"/>
              <w:right w:val="single" w:color="auto" w:sz="4" w:space="0"/>
            </w:tcBorders>
            <w:noWrap w:val="0"/>
            <w:vAlign w:val="center"/>
          </w:tcPr>
          <w:p w14:paraId="5A1D6191">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276" w:type="dxa"/>
            <w:tcBorders>
              <w:top w:val="nil"/>
              <w:left w:val="nil"/>
              <w:bottom w:val="single" w:color="auto" w:sz="4" w:space="0"/>
              <w:right w:val="single" w:color="auto" w:sz="4" w:space="0"/>
            </w:tcBorders>
            <w:noWrap w:val="0"/>
            <w:vAlign w:val="center"/>
          </w:tcPr>
          <w:p w14:paraId="292C0826">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r>
      <w:tr w14:paraId="58EE376F">
        <w:tblPrEx>
          <w:tblCellMar>
            <w:top w:w="0" w:type="dxa"/>
            <w:left w:w="108" w:type="dxa"/>
            <w:bottom w:w="0" w:type="dxa"/>
            <w:right w:w="108" w:type="dxa"/>
          </w:tblCellMar>
        </w:tblPrEx>
        <w:trPr>
          <w:cantSplit/>
          <w:trHeight w:val="375" w:hRule="atLeast"/>
          <w:jc w:val="center"/>
        </w:trPr>
        <w:tc>
          <w:tcPr>
            <w:tcW w:w="532" w:type="dxa"/>
            <w:vMerge w:val="continue"/>
            <w:tcBorders>
              <w:top w:val="single" w:color="auto" w:sz="4" w:space="0"/>
              <w:left w:val="single" w:color="auto" w:sz="4" w:space="0"/>
              <w:bottom w:val="nil"/>
              <w:right w:val="single" w:color="auto" w:sz="4" w:space="0"/>
            </w:tcBorders>
            <w:noWrap w:val="0"/>
            <w:vAlign w:val="center"/>
          </w:tcPr>
          <w:p w14:paraId="5056B528">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66314B42">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3AEDC96F">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909" w:type="dxa"/>
            <w:tcBorders>
              <w:top w:val="nil"/>
              <w:left w:val="nil"/>
              <w:bottom w:val="single" w:color="auto" w:sz="4" w:space="0"/>
              <w:right w:val="single" w:color="auto" w:sz="4" w:space="0"/>
            </w:tcBorders>
            <w:noWrap w:val="0"/>
            <w:vAlign w:val="center"/>
          </w:tcPr>
          <w:p w14:paraId="6455D7C2">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71" w:type="dxa"/>
            <w:tcBorders>
              <w:top w:val="nil"/>
              <w:left w:val="nil"/>
              <w:bottom w:val="single" w:color="auto" w:sz="4" w:space="0"/>
              <w:right w:val="single" w:color="auto" w:sz="4" w:space="0"/>
            </w:tcBorders>
            <w:noWrap w:val="0"/>
            <w:vAlign w:val="center"/>
          </w:tcPr>
          <w:p w14:paraId="564ECF1A">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440" w:type="dxa"/>
            <w:tcBorders>
              <w:top w:val="nil"/>
              <w:left w:val="nil"/>
              <w:bottom w:val="single" w:color="auto" w:sz="4" w:space="0"/>
              <w:right w:val="single" w:color="auto" w:sz="4" w:space="0"/>
            </w:tcBorders>
            <w:noWrap w:val="0"/>
            <w:vAlign w:val="center"/>
          </w:tcPr>
          <w:p w14:paraId="04F762DD">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80" w:type="dxa"/>
            <w:tcBorders>
              <w:top w:val="nil"/>
              <w:left w:val="nil"/>
              <w:bottom w:val="single" w:color="auto" w:sz="4" w:space="0"/>
              <w:right w:val="single" w:color="auto" w:sz="4" w:space="0"/>
            </w:tcBorders>
            <w:noWrap w:val="0"/>
            <w:vAlign w:val="center"/>
          </w:tcPr>
          <w:p w14:paraId="31C5A436">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276" w:type="dxa"/>
            <w:tcBorders>
              <w:top w:val="nil"/>
              <w:left w:val="nil"/>
              <w:bottom w:val="single" w:color="auto" w:sz="4" w:space="0"/>
              <w:right w:val="single" w:color="auto" w:sz="4" w:space="0"/>
            </w:tcBorders>
            <w:noWrap w:val="0"/>
            <w:vAlign w:val="center"/>
          </w:tcPr>
          <w:p w14:paraId="1B5C0E26">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r>
      <w:tr w14:paraId="62BCA2C1">
        <w:tblPrEx>
          <w:tblCellMar>
            <w:top w:w="0" w:type="dxa"/>
            <w:left w:w="108" w:type="dxa"/>
            <w:bottom w:w="0" w:type="dxa"/>
            <w:right w:w="108" w:type="dxa"/>
          </w:tblCellMar>
        </w:tblPrEx>
        <w:trPr>
          <w:cantSplit/>
          <w:trHeight w:val="285" w:hRule="atLeast"/>
          <w:jc w:val="center"/>
        </w:trPr>
        <w:tc>
          <w:tcPr>
            <w:tcW w:w="532" w:type="dxa"/>
            <w:vMerge w:val="continue"/>
            <w:tcBorders>
              <w:top w:val="single" w:color="auto" w:sz="4" w:space="0"/>
              <w:left w:val="single" w:color="auto" w:sz="4" w:space="0"/>
              <w:bottom w:val="nil"/>
              <w:right w:val="single" w:color="auto" w:sz="4" w:space="0"/>
            </w:tcBorders>
            <w:noWrap w:val="0"/>
            <w:vAlign w:val="center"/>
          </w:tcPr>
          <w:p w14:paraId="1633E514">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3E9314D8">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44995971">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909" w:type="dxa"/>
            <w:tcBorders>
              <w:top w:val="nil"/>
              <w:left w:val="nil"/>
              <w:bottom w:val="single" w:color="auto" w:sz="4" w:space="0"/>
              <w:right w:val="single" w:color="auto" w:sz="4" w:space="0"/>
            </w:tcBorders>
            <w:noWrap w:val="0"/>
            <w:vAlign w:val="center"/>
          </w:tcPr>
          <w:p w14:paraId="249BC039">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71" w:type="dxa"/>
            <w:tcBorders>
              <w:top w:val="nil"/>
              <w:left w:val="nil"/>
              <w:bottom w:val="single" w:color="auto" w:sz="4" w:space="0"/>
              <w:right w:val="single" w:color="auto" w:sz="4" w:space="0"/>
            </w:tcBorders>
            <w:noWrap w:val="0"/>
            <w:vAlign w:val="center"/>
          </w:tcPr>
          <w:p w14:paraId="43AF3955">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440" w:type="dxa"/>
            <w:tcBorders>
              <w:top w:val="nil"/>
              <w:left w:val="nil"/>
              <w:bottom w:val="single" w:color="auto" w:sz="4" w:space="0"/>
              <w:right w:val="single" w:color="auto" w:sz="4" w:space="0"/>
            </w:tcBorders>
            <w:noWrap w:val="0"/>
            <w:vAlign w:val="center"/>
          </w:tcPr>
          <w:p w14:paraId="5BDCC5B5">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80" w:type="dxa"/>
            <w:tcBorders>
              <w:top w:val="nil"/>
              <w:left w:val="nil"/>
              <w:bottom w:val="single" w:color="auto" w:sz="4" w:space="0"/>
              <w:right w:val="single" w:color="auto" w:sz="4" w:space="0"/>
            </w:tcBorders>
            <w:noWrap w:val="0"/>
            <w:vAlign w:val="center"/>
          </w:tcPr>
          <w:p w14:paraId="12B88052">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276" w:type="dxa"/>
            <w:tcBorders>
              <w:top w:val="nil"/>
              <w:left w:val="nil"/>
              <w:bottom w:val="single" w:color="auto" w:sz="4" w:space="0"/>
              <w:right w:val="single" w:color="auto" w:sz="4" w:space="0"/>
            </w:tcBorders>
            <w:noWrap w:val="0"/>
            <w:vAlign w:val="center"/>
          </w:tcPr>
          <w:p w14:paraId="202500D1">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r>
      <w:tr w14:paraId="63CD2C44">
        <w:tblPrEx>
          <w:tblCellMar>
            <w:top w:w="0" w:type="dxa"/>
            <w:left w:w="108" w:type="dxa"/>
            <w:bottom w:w="0" w:type="dxa"/>
            <w:right w:w="108" w:type="dxa"/>
          </w:tblCellMar>
        </w:tblPrEx>
        <w:trPr>
          <w:cantSplit/>
          <w:trHeight w:val="405" w:hRule="atLeast"/>
          <w:jc w:val="center"/>
        </w:trPr>
        <w:tc>
          <w:tcPr>
            <w:tcW w:w="532" w:type="dxa"/>
            <w:vMerge w:val="restart"/>
            <w:tcBorders>
              <w:top w:val="single" w:color="auto" w:sz="4" w:space="0"/>
              <w:left w:val="single" w:color="auto" w:sz="4" w:space="0"/>
              <w:bottom w:val="single" w:color="000000" w:sz="4" w:space="0"/>
              <w:right w:val="single" w:color="auto" w:sz="4" w:space="0"/>
            </w:tcBorders>
            <w:noWrap w:val="0"/>
            <w:vAlign w:val="center"/>
          </w:tcPr>
          <w:p w14:paraId="389B98F4">
            <w:pPr>
              <w:widowControl/>
              <w:spacing w:line="360" w:lineRule="auto"/>
              <w:jc w:val="center"/>
              <w:rPr>
                <w:rFonts w:hAnsi="宋体" w:cs="宋体"/>
                <w:color w:val="auto"/>
                <w:szCs w:val="21"/>
                <w:highlight w:val="none"/>
              </w:rPr>
            </w:pPr>
            <w:r>
              <w:rPr>
                <w:rFonts w:hint="eastAsia" w:hAnsi="宋体" w:cs="宋体"/>
                <w:color w:val="auto"/>
                <w:szCs w:val="21"/>
                <w:highlight w:val="none"/>
              </w:rPr>
              <w:t>三</w:t>
            </w:r>
          </w:p>
        </w:tc>
        <w:tc>
          <w:tcPr>
            <w:tcW w:w="1064" w:type="dxa"/>
            <w:vMerge w:val="restart"/>
            <w:tcBorders>
              <w:top w:val="nil"/>
              <w:left w:val="single" w:color="auto" w:sz="4" w:space="0"/>
              <w:bottom w:val="single" w:color="000000" w:sz="4" w:space="0"/>
              <w:right w:val="single" w:color="auto" w:sz="4" w:space="0"/>
            </w:tcBorders>
            <w:noWrap w:val="0"/>
            <w:vAlign w:val="center"/>
          </w:tcPr>
          <w:p w14:paraId="4A6D2D70">
            <w:pPr>
              <w:widowControl/>
              <w:spacing w:line="360" w:lineRule="auto"/>
              <w:jc w:val="center"/>
              <w:rPr>
                <w:rFonts w:hAnsi="宋体" w:cs="宋体"/>
                <w:color w:val="auto"/>
                <w:szCs w:val="21"/>
                <w:highlight w:val="none"/>
              </w:rPr>
            </w:pPr>
            <w:r>
              <w:rPr>
                <w:rFonts w:hint="eastAsia" w:hAnsi="宋体" w:cs="宋体"/>
                <w:color w:val="auto"/>
                <w:szCs w:val="21"/>
                <w:highlight w:val="none"/>
              </w:rPr>
              <w:t>预</w:t>
            </w:r>
            <w:r>
              <w:rPr>
                <w:rFonts w:hint="eastAsia" w:hAnsi="宋体" w:cs="宋体"/>
                <w:strike w:val="0"/>
                <w:dstrike w:val="0"/>
                <w:color w:val="auto"/>
                <w:szCs w:val="21"/>
                <w:highlight w:val="none"/>
                <w:u w:val="none"/>
                <w:shd w:val="clear" w:fill="auto"/>
              </w:rPr>
              <w:t>、</w:t>
            </w:r>
            <w:r>
              <w:rPr>
                <w:rFonts w:hint="eastAsia" w:hAnsi="宋体" w:cs="宋体"/>
                <w:color w:val="auto"/>
                <w:szCs w:val="21"/>
                <w:highlight w:val="none"/>
              </w:rPr>
              <w:t>结算人员</w:t>
            </w:r>
          </w:p>
          <w:p w14:paraId="5413EBB4">
            <w:pPr>
              <w:spacing w:line="360" w:lineRule="auto"/>
              <w:jc w:val="center"/>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0626EB27">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909" w:type="dxa"/>
            <w:tcBorders>
              <w:top w:val="nil"/>
              <w:left w:val="nil"/>
              <w:bottom w:val="single" w:color="auto" w:sz="4" w:space="0"/>
              <w:right w:val="single" w:color="auto" w:sz="4" w:space="0"/>
            </w:tcBorders>
            <w:noWrap w:val="0"/>
            <w:vAlign w:val="center"/>
          </w:tcPr>
          <w:p w14:paraId="1F62A254">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71" w:type="dxa"/>
            <w:tcBorders>
              <w:top w:val="nil"/>
              <w:left w:val="nil"/>
              <w:bottom w:val="single" w:color="auto" w:sz="4" w:space="0"/>
              <w:right w:val="single" w:color="auto" w:sz="4" w:space="0"/>
            </w:tcBorders>
            <w:noWrap w:val="0"/>
            <w:vAlign w:val="center"/>
          </w:tcPr>
          <w:p w14:paraId="2934B636">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440" w:type="dxa"/>
            <w:tcBorders>
              <w:top w:val="nil"/>
              <w:left w:val="nil"/>
              <w:bottom w:val="single" w:color="auto" w:sz="4" w:space="0"/>
              <w:right w:val="single" w:color="auto" w:sz="4" w:space="0"/>
            </w:tcBorders>
            <w:noWrap w:val="0"/>
            <w:vAlign w:val="center"/>
          </w:tcPr>
          <w:p w14:paraId="30708238">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80" w:type="dxa"/>
            <w:tcBorders>
              <w:top w:val="nil"/>
              <w:left w:val="nil"/>
              <w:bottom w:val="single" w:color="auto" w:sz="4" w:space="0"/>
              <w:right w:val="single" w:color="auto" w:sz="4" w:space="0"/>
            </w:tcBorders>
            <w:noWrap w:val="0"/>
            <w:vAlign w:val="center"/>
          </w:tcPr>
          <w:p w14:paraId="2B0BFB58">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276" w:type="dxa"/>
            <w:tcBorders>
              <w:top w:val="nil"/>
              <w:left w:val="nil"/>
              <w:bottom w:val="single" w:color="auto" w:sz="4" w:space="0"/>
              <w:right w:val="single" w:color="auto" w:sz="4" w:space="0"/>
            </w:tcBorders>
            <w:noWrap w:val="0"/>
            <w:vAlign w:val="center"/>
          </w:tcPr>
          <w:p w14:paraId="44496CA6">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r>
      <w:tr w14:paraId="26E19D2E">
        <w:tblPrEx>
          <w:tblCellMar>
            <w:top w:w="0" w:type="dxa"/>
            <w:left w:w="108" w:type="dxa"/>
            <w:bottom w:w="0" w:type="dxa"/>
            <w:right w:w="108" w:type="dxa"/>
          </w:tblCellMar>
        </w:tblPrEx>
        <w:trPr>
          <w:cantSplit/>
          <w:trHeight w:val="405" w:hRule="atLeast"/>
          <w:jc w:val="center"/>
        </w:trPr>
        <w:tc>
          <w:tcPr>
            <w:tcW w:w="532" w:type="dxa"/>
            <w:vMerge w:val="continue"/>
            <w:tcBorders>
              <w:top w:val="single" w:color="auto" w:sz="4" w:space="0"/>
              <w:left w:val="single" w:color="auto" w:sz="4" w:space="0"/>
              <w:bottom w:val="single" w:color="000000" w:sz="4" w:space="0"/>
              <w:right w:val="single" w:color="auto" w:sz="4" w:space="0"/>
            </w:tcBorders>
            <w:noWrap w:val="0"/>
            <w:vAlign w:val="center"/>
          </w:tcPr>
          <w:p w14:paraId="6A904977">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10E8EB2B">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54FDF78D">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909" w:type="dxa"/>
            <w:tcBorders>
              <w:top w:val="nil"/>
              <w:left w:val="nil"/>
              <w:bottom w:val="single" w:color="auto" w:sz="4" w:space="0"/>
              <w:right w:val="single" w:color="auto" w:sz="4" w:space="0"/>
            </w:tcBorders>
            <w:noWrap w:val="0"/>
            <w:vAlign w:val="center"/>
          </w:tcPr>
          <w:p w14:paraId="46FE81D8">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71" w:type="dxa"/>
            <w:tcBorders>
              <w:top w:val="nil"/>
              <w:left w:val="nil"/>
              <w:bottom w:val="single" w:color="auto" w:sz="4" w:space="0"/>
              <w:right w:val="single" w:color="auto" w:sz="4" w:space="0"/>
            </w:tcBorders>
            <w:noWrap w:val="0"/>
            <w:vAlign w:val="center"/>
          </w:tcPr>
          <w:p w14:paraId="58EB3C9B">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440" w:type="dxa"/>
            <w:tcBorders>
              <w:top w:val="nil"/>
              <w:left w:val="nil"/>
              <w:bottom w:val="single" w:color="auto" w:sz="4" w:space="0"/>
              <w:right w:val="single" w:color="auto" w:sz="4" w:space="0"/>
            </w:tcBorders>
            <w:noWrap w:val="0"/>
            <w:vAlign w:val="center"/>
          </w:tcPr>
          <w:p w14:paraId="04497681">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80" w:type="dxa"/>
            <w:tcBorders>
              <w:top w:val="nil"/>
              <w:left w:val="nil"/>
              <w:bottom w:val="single" w:color="auto" w:sz="4" w:space="0"/>
              <w:right w:val="single" w:color="auto" w:sz="4" w:space="0"/>
            </w:tcBorders>
            <w:noWrap w:val="0"/>
            <w:vAlign w:val="center"/>
          </w:tcPr>
          <w:p w14:paraId="2F79CB1F">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276" w:type="dxa"/>
            <w:tcBorders>
              <w:top w:val="nil"/>
              <w:left w:val="nil"/>
              <w:bottom w:val="single" w:color="auto" w:sz="4" w:space="0"/>
              <w:right w:val="single" w:color="auto" w:sz="4" w:space="0"/>
            </w:tcBorders>
            <w:noWrap w:val="0"/>
            <w:vAlign w:val="center"/>
          </w:tcPr>
          <w:p w14:paraId="7541F9B1">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r>
      <w:tr w14:paraId="120BE082">
        <w:tblPrEx>
          <w:tblCellMar>
            <w:top w:w="0" w:type="dxa"/>
            <w:left w:w="108" w:type="dxa"/>
            <w:bottom w:w="0" w:type="dxa"/>
            <w:right w:w="108" w:type="dxa"/>
          </w:tblCellMar>
        </w:tblPrEx>
        <w:trPr>
          <w:cantSplit/>
          <w:trHeight w:val="285" w:hRule="atLeast"/>
          <w:jc w:val="center"/>
        </w:trPr>
        <w:tc>
          <w:tcPr>
            <w:tcW w:w="532" w:type="dxa"/>
            <w:vMerge w:val="continue"/>
            <w:tcBorders>
              <w:top w:val="single" w:color="auto" w:sz="4" w:space="0"/>
              <w:left w:val="single" w:color="auto" w:sz="4" w:space="0"/>
              <w:bottom w:val="single" w:color="000000" w:sz="4" w:space="0"/>
              <w:right w:val="single" w:color="auto" w:sz="4" w:space="0"/>
            </w:tcBorders>
            <w:noWrap w:val="0"/>
            <w:vAlign w:val="center"/>
          </w:tcPr>
          <w:p w14:paraId="0472309B">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3E0DD203">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34495121">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909" w:type="dxa"/>
            <w:tcBorders>
              <w:top w:val="nil"/>
              <w:left w:val="nil"/>
              <w:bottom w:val="single" w:color="auto" w:sz="4" w:space="0"/>
              <w:right w:val="single" w:color="auto" w:sz="4" w:space="0"/>
            </w:tcBorders>
            <w:noWrap w:val="0"/>
            <w:vAlign w:val="center"/>
          </w:tcPr>
          <w:p w14:paraId="7F368DFD">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71" w:type="dxa"/>
            <w:tcBorders>
              <w:top w:val="nil"/>
              <w:left w:val="nil"/>
              <w:bottom w:val="single" w:color="auto" w:sz="4" w:space="0"/>
              <w:right w:val="single" w:color="auto" w:sz="4" w:space="0"/>
            </w:tcBorders>
            <w:noWrap w:val="0"/>
            <w:vAlign w:val="center"/>
          </w:tcPr>
          <w:p w14:paraId="1A78677C">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440" w:type="dxa"/>
            <w:tcBorders>
              <w:top w:val="nil"/>
              <w:left w:val="nil"/>
              <w:bottom w:val="single" w:color="auto" w:sz="4" w:space="0"/>
              <w:right w:val="single" w:color="auto" w:sz="4" w:space="0"/>
            </w:tcBorders>
            <w:noWrap w:val="0"/>
            <w:vAlign w:val="center"/>
          </w:tcPr>
          <w:p w14:paraId="489D0FBA">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80" w:type="dxa"/>
            <w:tcBorders>
              <w:top w:val="nil"/>
              <w:left w:val="nil"/>
              <w:bottom w:val="single" w:color="auto" w:sz="4" w:space="0"/>
              <w:right w:val="single" w:color="auto" w:sz="4" w:space="0"/>
            </w:tcBorders>
            <w:noWrap w:val="0"/>
            <w:vAlign w:val="center"/>
          </w:tcPr>
          <w:p w14:paraId="3AD064F6">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276" w:type="dxa"/>
            <w:tcBorders>
              <w:top w:val="nil"/>
              <w:left w:val="nil"/>
              <w:bottom w:val="single" w:color="auto" w:sz="4" w:space="0"/>
              <w:right w:val="single" w:color="auto" w:sz="4" w:space="0"/>
            </w:tcBorders>
            <w:noWrap w:val="0"/>
            <w:vAlign w:val="center"/>
          </w:tcPr>
          <w:p w14:paraId="4311256A">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r>
      <w:tr w14:paraId="7D4CF46A">
        <w:tblPrEx>
          <w:tblCellMar>
            <w:top w:w="0" w:type="dxa"/>
            <w:left w:w="108" w:type="dxa"/>
            <w:bottom w:w="0" w:type="dxa"/>
            <w:right w:w="108" w:type="dxa"/>
          </w:tblCellMar>
        </w:tblPrEx>
        <w:trPr>
          <w:cantSplit/>
          <w:trHeight w:val="420" w:hRule="atLeast"/>
          <w:jc w:val="center"/>
        </w:trPr>
        <w:tc>
          <w:tcPr>
            <w:tcW w:w="532" w:type="dxa"/>
            <w:vMerge w:val="restart"/>
            <w:tcBorders>
              <w:top w:val="nil"/>
              <w:left w:val="single" w:color="auto" w:sz="4" w:space="0"/>
              <w:bottom w:val="single" w:color="000000" w:sz="4" w:space="0"/>
              <w:right w:val="single" w:color="auto" w:sz="4" w:space="0"/>
            </w:tcBorders>
            <w:noWrap w:val="0"/>
            <w:vAlign w:val="center"/>
          </w:tcPr>
          <w:p w14:paraId="5DB07EE5">
            <w:pPr>
              <w:widowControl/>
              <w:spacing w:line="360" w:lineRule="auto"/>
              <w:jc w:val="center"/>
              <w:rPr>
                <w:rFonts w:hAnsi="宋体" w:cs="宋体"/>
                <w:color w:val="auto"/>
                <w:szCs w:val="21"/>
                <w:highlight w:val="none"/>
              </w:rPr>
            </w:pPr>
            <w:r>
              <w:rPr>
                <w:rFonts w:hint="eastAsia" w:hAnsi="宋体" w:cs="宋体"/>
                <w:color w:val="auto"/>
                <w:szCs w:val="21"/>
                <w:highlight w:val="none"/>
              </w:rPr>
              <w:t>四</w:t>
            </w:r>
          </w:p>
        </w:tc>
        <w:tc>
          <w:tcPr>
            <w:tcW w:w="1064" w:type="dxa"/>
            <w:vMerge w:val="restart"/>
            <w:tcBorders>
              <w:top w:val="nil"/>
              <w:left w:val="single" w:color="auto" w:sz="4" w:space="0"/>
              <w:bottom w:val="single" w:color="000000" w:sz="4" w:space="0"/>
              <w:right w:val="single" w:color="auto" w:sz="4" w:space="0"/>
            </w:tcBorders>
            <w:noWrap w:val="0"/>
            <w:vAlign w:val="center"/>
          </w:tcPr>
          <w:p w14:paraId="18C54615">
            <w:pPr>
              <w:widowControl/>
              <w:spacing w:line="360" w:lineRule="auto"/>
              <w:jc w:val="center"/>
              <w:rPr>
                <w:rFonts w:hAnsi="宋体" w:cs="宋体"/>
                <w:color w:val="auto"/>
                <w:szCs w:val="21"/>
                <w:highlight w:val="none"/>
              </w:rPr>
            </w:pPr>
            <w:r>
              <w:rPr>
                <w:rFonts w:hint="eastAsia" w:hAnsi="宋体" w:cs="宋体"/>
                <w:color w:val="auto"/>
                <w:szCs w:val="21"/>
                <w:highlight w:val="none"/>
              </w:rPr>
              <w:t>校核人员</w:t>
            </w:r>
          </w:p>
          <w:p w14:paraId="3CA8DCD1">
            <w:pPr>
              <w:spacing w:line="360" w:lineRule="auto"/>
              <w:jc w:val="center"/>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033BE60A">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909" w:type="dxa"/>
            <w:tcBorders>
              <w:top w:val="nil"/>
              <w:left w:val="nil"/>
              <w:bottom w:val="single" w:color="auto" w:sz="4" w:space="0"/>
              <w:right w:val="single" w:color="auto" w:sz="4" w:space="0"/>
            </w:tcBorders>
            <w:noWrap w:val="0"/>
            <w:vAlign w:val="center"/>
          </w:tcPr>
          <w:p w14:paraId="4FD73E86">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71" w:type="dxa"/>
            <w:tcBorders>
              <w:top w:val="nil"/>
              <w:left w:val="nil"/>
              <w:bottom w:val="single" w:color="auto" w:sz="4" w:space="0"/>
              <w:right w:val="single" w:color="auto" w:sz="4" w:space="0"/>
            </w:tcBorders>
            <w:noWrap w:val="0"/>
            <w:vAlign w:val="center"/>
          </w:tcPr>
          <w:p w14:paraId="24CF9BDD">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440" w:type="dxa"/>
            <w:tcBorders>
              <w:top w:val="nil"/>
              <w:left w:val="nil"/>
              <w:bottom w:val="single" w:color="auto" w:sz="4" w:space="0"/>
              <w:right w:val="single" w:color="auto" w:sz="4" w:space="0"/>
            </w:tcBorders>
            <w:noWrap w:val="0"/>
            <w:vAlign w:val="center"/>
          </w:tcPr>
          <w:p w14:paraId="49DC7CE6">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80" w:type="dxa"/>
            <w:tcBorders>
              <w:top w:val="nil"/>
              <w:left w:val="nil"/>
              <w:bottom w:val="single" w:color="auto" w:sz="4" w:space="0"/>
              <w:right w:val="single" w:color="auto" w:sz="4" w:space="0"/>
            </w:tcBorders>
            <w:noWrap w:val="0"/>
            <w:vAlign w:val="center"/>
          </w:tcPr>
          <w:p w14:paraId="6731D068">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276" w:type="dxa"/>
            <w:tcBorders>
              <w:top w:val="nil"/>
              <w:left w:val="nil"/>
              <w:bottom w:val="single" w:color="auto" w:sz="4" w:space="0"/>
              <w:right w:val="single" w:color="auto" w:sz="4" w:space="0"/>
            </w:tcBorders>
            <w:noWrap w:val="0"/>
            <w:vAlign w:val="center"/>
          </w:tcPr>
          <w:p w14:paraId="32428E9B">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r>
      <w:tr w14:paraId="07E979FF">
        <w:tblPrEx>
          <w:tblCellMar>
            <w:top w:w="0" w:type="dxa"/>
            <w:left w:w="108" w:type="dxa"/>
            <w:bottom w:w="0" w:type="dxa"/>
            <w:right w:w="108" w:type="dxa"/>
          </w:tblCellMar>
        </w:tblPrEx>
        <w:trPr>
          <w:cantSplit/>
          <w:trHeight w:val="420" w:hRule="atLeast"/>
          <w:jc w:val="center"/>
        </w:trPr>
        <w:tc>
          <w:tcPr>
            <w:tcW w:w="532" w:type="dxa"/>
            <w:vMerge w:val="continue"/>
            <w:tcBorders>
              <w:top w:val="nil"/>
              <w:left w:val="single" w:color="auto" w:sz="4" w:space="0"/>
              <w:bottom w:val="single" w:color="000000" w:sz="4" w:space="0"/>
              <w:right w:val="single" w:color="auto" w:sz="4" w:space="0"/>
            </w:tcBorders>
            <w:noWrap w:val="0"/>
            <w:vAlign w:val="center"/>
          </w:tcPr>
          <w:p w14:paraId="524320D2">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2686D019">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16F740D3">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909" w:type="dxa"/>
            <w:tcBorders>
              <w:top w:val="nil"/>
              <w:left w:val="nil"/>
              <w:bottom w:val="single" w:color="auto" w:sz="4" w:space="0"/>
              <w:right w:val="single" w:color="auto" w:sz="4" w:space="0"/>
            </w:tcBorders>
            <w:noWrap w:val="0"/>
            <w:vAlign w:val="center"/>
          </w:tcPr>
          <w:p w14:paraId="0704D2F5">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71" w:type="dxa"/>
            <w:tcBorders>
              <w:top w:val="nil"/>
              <w:left w:val="nil"/>
              <w:bottom w:val="single" w:color="auto" w:sz="4" w:space="0"/>
              <w:right w:val="single" w:color="auto" w:sz="4" w:space="0"/>
            </w:tcBorders>
            <w:noWrap w:val="0"/>
            <w:vAlign w:val="center"/>
          </w:tcPr>
          <w:p w14:paraId="19911E07">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440" w:type="dxa"/>
            <w:tcBorders>
              <w:top w:val="nil"/>
              <w:left w:val="nil"/>
              <w:bottom w:val="single" w:color="auto" w:sz="4" w:space="0"/>
              <w:right w:val="single" w:color="auto" w:sz="4" w:space="0"/>
            </w:tcBorders>
            <w:noWrap w:val="0"/>
            <w:vAlign w:val="center"/>
          </w:tcPr>
          <w:p w14:paraId="2A2F2610">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80" w:type="dxa"/>
            <w:tcBorders>
              <w:top w:val="nil"/>
              <w:left w:val="nil"/>
              <w:bottom w:val="single" w:color="auto" w:sz="4" w:space="0"/>
              <w:right w:val="single" w:color="auto" w:sz="4" w:space="0"/>
            </w:tcBorders>
            <w:noWrap w:val="0"/>
            <w:vAlign w:val="center"/>
          </w:tcPr>
          <w:p w14:paraId="4BAD4A5C">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276" w:type="dxa"/>
            <w:tcBorders>
              <w:top w:val="nil"/>
              <w:left w:val="nil"/>
              <w:bottom w:val="single" w:color="auto" w:sz="4" w:space="0"/>
              <w:right w:val="single" w:color="auto" w:sz="4" w:space="0"/>
            </w:tcBorders>
            <w:noWrap w:val="0"/>
            <w:vAlign w:val="center"/>
          </w:tcPr>
          <w:p w14:paraId="58684189">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r>
      <w:tr w14:paraId="4E445BC9">
        <w:tblPrEx>
          <w:tblCellMar>
            <w:top w:w="0" w:type="dxa"/>
            <w:left w:w="108" w:type="dxa"/>
            <w:bottom w:w="0" w:type="dxa"/>
            <w:right w:w="108" w:type="dxa"/>
          </w:tblCellMar>
        </w:tblPrEx>
        <w:trPr>
          <w:cantSplit/>
          <w:trHeight w:val="285" w:hRule="atLeast"/>
          <w:jc w:val="center"/>
        </w:trPr>
        <w:tc>
          <w:tcPr>
            <w:tcW w:w="532" w:type="dxa"/>
            <w:vMerge w:val="continue"/>
            <w:tcBorders>
              <w:top w:val="nil"/>
              <w:left w:val="single" w:color="auto" w:sz="4" w:space="0"/>
              <w:bottom w:val="single" w:color="000000" w:sz="4" w:space="0"/>
              <w:right w:val="single" w:color="auto" w:sz="4" w:space="0"/>
            </w:tcBorders>
            <w:noWrap w:val="0"/>
            <w:vAlign w:val="center"/>
          </w:tcPr>
          <w:p w14:paraId="59CDB169">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48AD0FA4">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2E942B86">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909" w:type="dxa"/>
            <w:tcBorders>
              <w:top w:val="nil"/>
              <w:left w:val="nil"/>
              <w:bottom w:val="single" w:color="auto" w:sz="4" w:space="0"/>
              <w:right w:val="single" w:color="auto" w:sz="4" w:space="0"/>
            </w:tcBorders>
            <w:noWrap w:val="0"/>
            <w:vAlign w:val="center"/>
          </w:tcPr>
          <w:p w14:paraId="490F0FDC">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71" w:type="dxa"/>
            <w:tcBorders>
              <w:top w:val="nil"/>
              <w:left w:val="nil"/>
              <w:bottom w:val="single" w:color="auto" w:sz="4" w:space="0"/>
              <w:right w:val="single" w:color="auto" w:sz="4" w:space="0"/>
            </w:tcBorders>
            <w:noWrap w:val="0"/>
            <w:vAlign w:val="center"/>
          </w:tcPr>
          <w:p w14:paraId="4F35D4F8">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440" w:type="dxa"/>
            <w:tcBorders>
              <w:top w:val="nil"/>
              <w:left w:val="nil"/>
              <w:bottom w:val="single" w:color="auto" w:sz="4" w:space="0"/>
              <w:right w:val="single" w:color="auto" w:sz="4" w:space="0"/>
            </w:tcBorders>
            <w:noWrap w:val="0"/>
            <w:vAlign w:val="center"/>
          </w:tcPr>
          <w:p w14:paraId="5749CD2B">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80" w:type="dxa"/>
            <w:tcBorders>
              <w:top w:val="nil"/>
              <w:left w:val="nil"/>
              <w:bottom w:val="single" w:color="auto" w:sz="4" w:space="0"/>
              <w:right w:val="single" w:color="auto" w:sz="4" w:space="0"/>
            </w:tcBorders>
            <w:noWrap w:val="0"/>
            <w:vAlign w:val="center"/>
          </w:tcPr>
          <w:p w14:paraId="723D8FF7">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276" w:type="dxa"/>
            <w:tcBorders>
              <w:top w:val="nil"/>
              <w:left w:val="nil"/>
              <w:bottom w:val="single" w:color="auto" w:sz="4" w:space="0"/>
              <w:right w:val="single" w:color="auto" w:sz="4" w:space="0"/>
            </w:tcBorders>
            <w:noWrap w:val="0"/>
            <w:vAlign w:val="center"/>
          </w:tcPr>
          <w:p w14:paraId="47D3025E">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r>
      <w:tr w14:paraId="3BB2A5B0">
        <w:tblPrEx>
          <w:tblCellMar>
            <w:top w:w="0" w:type="dxa"/>
            <w:left w:w="108" w:type="dxa"/>
            <w:bottom w:w="0" w:type="dxa"/>
            <w:right w:w="108" w:type="dxa"/>
          </w:tblCellMar>
        </w:tblPrEx>
        <w:trPr>
          <w:cantSplit/>
          <w:trHeight w:val="390" w:hRule="atLeast"/>
          <w:jc w:val="center"/>
        </w:trPr>
        <w:tc>
          <w:tcPr>
            <w:tcW w:w="532" w:type="dxa"/>
            <w:vMerge w:val="restart"/>
            <w:tcBorders>
              <w:top w:val="nil"/>
              <w:left w:val="single" w:color="auto" w:sz="4" w:space="0"/>
              <w:bottom w:val="single" w:color="000000" w:sz="4" w:space="0"/>
              <w:right w:val="single" w:color="auto" w:sz="4" w:space="0"/>
            </w:tcBorders>
            <w:noWrap w:val="0"/>
            <w:vAlign w:val="center"/>
          </w:tcPr>
          <w:p w14:paraId="6043E611">
            <w:pPr>
              <w:widowControl/>
              <w:spacing w:line="360" w:lineRule="auto"/>
              <w:jc w:val="center"/>
              <w:rPr>
                <w:rFonts w:hAnsi="宋体" w:cs="宋体"/>
                <w:color w:val="auto"/>
                <w:szCs w:val="21"/>
                <w:highlight w:val="none"/>
              </w:rPr>
            </w:pPr>
            <w:r>
              <w:rPr>
                <w:rFonts w:hint="eastAsia" w:hAnsi="宋体" w:cs="宋体"/>
                <w:color w:val="auto"/>
                <w:szCs w:val="21"/>
                <w:highlight w:val="none"/>
              </w:rPr>
              <w:t>五</w:t>
            </w:r>
          </w:p>
        </w:tc>
        <w:tc>
          <w:tcPr>
            <w:tcW w:w="1064" w:type="dxa"/>
            <w:vMerge w:val="restart"/>
            <w:tcBorders>
              <w:top w:val="nil"/>
              <w:left w:val="single" w:color="auto" w:sz="4" w:space="0"/>
              <w:bottom w:val="single" w:color="000000" w:sz="4" w:space="0"/>
              <w:right w:val="single" w:color="auto" w:sz="4" w:space="0"/>
            </w:tcBorders>
            <w:noWrap w:val="0"/>
            <w:vAlign w:val="center"/>
          </w:tcPr>
          <w:p w14:paraId="13BEEC00">
            <w:pPr>
              <w:widowControl/>
              <w:spacing w:line="360" w:lineRule="auto"/>
              <w:jc w:val="center"/>
              <w:rPr>
                <w:rFonts w:hAnsi="宋体" w:cs="宋体"/>
                <w:color w:val="auto"/>
                <w:szCs w:val="21"/>
                <w:highlight w:val="none"/>
              </w:rPr>
            </w:pPr>
            <w:r>
              <w:rPr>
                <w:rFonts w:hint="eastAsia" w:hAnsi="宋体" w:cs="宋体"/>
                <w:color w:val="auto"/>
                <w:szCs w:val="21"/>
                <w:highlight w:val="none"/>
              </w:rPr>
              <w:t>审核人员</w:t>
            </w:r>
          </w:p>
          <w:p w14:paraId="3E9323D0">
            <w:pPr>
              <w:spacing w:line="360" w:lineRule="auto"/>
              <w:jc w:val="center"/>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3BE7A2BB">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909" w:type="dxa"/>
            <w:tcBorders>
              <w:top w:val="nil"/>
              <w:left w:val="nil"/>
              <w:bottom w:val="single" w:color="auto" w:sz="4" w:space="0"/>
              <w:right w:val="single" w:color="auto" w:sz="4" w:space="0"/>
            </w:tcBorders>
            <w:noWrap w:val="0"/>
            <w:vAlign w:val="center"/>
          </w:tcPr>
          <w:p w14:paraId="594DD677">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71" w:type="dxa"/>
            <w:tcBorders>
              <w:top w:val="nil"/>
              <w:left w:val="nil"/>
              <w:bottom w:val="single" w:color="auto" w:sz="4" w:space="0"/>
              <w:right w:val="single" w:color="auto" w:sz="4" w:space="0"/>
            </w:tcBorders>
            <w:noWrap w:val="0"/>
            <w:vAlign w:val="center"/>
          </w:tcPr>
          <w:p w14:paraId="1A568560">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440" w:type="dxa"/>
            <w:tcBorders>
              <w:top w:val="nil"/>
              <w:left w:val="nil"/>
              <w:bottom w:val="single" w:color="auto" w:sz="4" w:space="0"/>
              <w:right w:val="single" w:color="auto" w:sz="4" w:space="0"/>
            </w:tcBorders>
            <w:noWrap w:val="0"/>
            <w:vAlign w:val="center"/>
          </w:tcPr>
          <w:p w14:paraId="7EB8D7BB">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80" w:type="dxa"/>
            <w:tcBorders>
              <w:top w:val="nil"/>
              <w:left w:val="nil"/>
              <w:bottom w:val="single" w:color="auto" w:sz="4" w:space="0"/>
              <w:right w:val="single" w:color="auto" w:sz="4" w:space="0"/>
            </w:tcBorders>
            <w:noWrap w:val="0"/>
            <w:vAlign w:val="center"/>
          </w:tcPr>
          <w:p w14:paraId="3E648A0C">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276" w:type="dxa"/>
            <w:tcBorders>
              <w:top w:val="nil"/>
              <w:left w:val="nil"/>
              <w:bottom w:val="single" w:color="auto" w:sz="4" w:space="0"/>
              <w:right w:val="single" w:color="auto" w:sz="4" w:space="0"/>
            </w:tcBorders>
            <w:noWrap w:val="0"/>
            <w:vAlign w:val="center"/>
          </w:tcPr>
          <w:p w14:paraId="57E67FAA">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r>
      <w:tr w14:paraId="2E349BA2">
        <w:tblPrEx>
          <w:tblCellMar>
            <w:top w:w="0" w:type="dxa"/>
            <w:left w:w="108" w:type="dxa"/>
            <w:bottom w:w="0" w:type="dxa"/>
            <w:right w:w="108" w:type="dxa"/>
          </w:tblCellMar>
        </w:tblPrEx>
        <w:trPr>
          <w:cantSplit/>
          <w:trHeight w:val="390" w:hRule="atLeast"/>
          <w:jc w:val="center"/>
        </w:trPr>
        <w:tc>
          <w:tcPr>
            <w:tcW w:w="532" w:type="dxa"/>
            <w:vMerge w:val="continue"/>
            <w:tcBorders>
              <w:top w:val="nil"/>
              <w:left w:val="single" w:color="auto" w:sz="4" w:space="0"/>
              <w:bottom w:val="single" w:color="000000" w:sz="4" w:space="0"/>
              <w:right w:val="single" w:color="auto" w:sz="4" w:space="0"/>
            </w:tcBorders>
            <w:noWrap w:val="0"/>
            <w:vAlign w:val="center"/>
          </w:tcPr>
          <w:p w14:paraId="00F487A6">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77EBC89B">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31160D47">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909" w:type="dxa"/>
            <w:tcBorders>
              <w:top w:val="nil"/>
              <w:left w:val="nil"/>
              <w:bottom w:val="single" w:color="auto" w:sz="4" w:space="0"/>
              <w:right w:val="single" w:color="auto" w:sz="4" w:space="0"/>
            </w:tcBorders>
            <w:noWrap w:val="0"/>
            <w:vAlign w:val="center"/>
          </w:tcPr>
          <w:p w14:paraId="7606FE7F">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71" w:type="dxa"/>
            <w:tcBorders>
              <w:top w:val="nil"/>
              <w:left w:val="nil"/>
              <w:bottom w:val="single" w:color="auto" w:sz="4" w:space="0"/>
              <w:right w:val="single" w:color="auto" w:sz="4" w:space="0"/>
            </w:tcBorders>
            <w:noWrap w:val="0"/>
            <w:vAlign w:val="center"/>
          </w:tcPr>
          <w:p w14:paraId="08216EC3">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440" w:type="dxa"/>
            <w:tcBorders>
              <w:top w:val="nil"/>
              <w:left w:val="nil"/>
              <w:bottom w:val="single" w:color="auto" w:sz="4" w:space="0"/>
              <w:right w:val="single" w:color="auto" w:sz="4" w:space="0"/>
            </w:tcBorders>
            <w:noWrap w:val="0"/>
            <w:vAlign w:val="center"/>
          </w:tcPr>
          <w:p w14:paraId="4F08E1C3">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80" w:type="dxa"/>
            <w:tcBorders>
              <w:top w:val="nil"/>
              <w:left w:val="nil"/>
              <w:bottom w:val="single" w:color="auto" w:sz="4" w:space="0"/>
              <w:right w:val="single" w:color="auto" w:sz="4" w:space="0"/>
            </w:tcBorders>
            <w:noWrap w:val="0"/>
            <w:vAlign w:val="center"/>
          </w:tcPr>
          <w:p w14:paraId="5CD33177">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276" w:type="dxa"/>
            <w:tcBorders>
              <w:top w:val="nil"/>
              <w:left w:val="nil"/>
              <w:bottom w:val="single" w:color="auto" w:sz="4" w:space="0"/>
              <w:right w:val="single" w:color="auto" w:sz="4" w:space="0"/>
            </w:tcBorders>
            <w:noWrap w:val="0"/>
            <w:vAlign w:val="center"/>
          </w:tcPr>
          <w:p w14:paraId="0EA33C30">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r>
      <w:tr w14:paraId="48C90426">
        <w:tblPrEx>
          <w:tblCellMar>
            <w:top w:w="0" w:type="dxa"/>
            <w:left w:w="108" w:type="dxa"/>
            <w:bottom w:w="0" w:type="dxa"/>
            <w:right w:w="108" w:type="dxa"/>
          </w:tblCellMar>
        </w:tblPrEx>
        <w:trPr>
          <w:cantSplit/>
          <w:trHeight w:val="285" w:hRule="atLeast"/>
          <w:jc w:val="center"/>
        </w:trPr>
        <w:tc>
          <w:tcPr>
            <w:tcW w:w="532" w:type="dxa"/>
            <w:vMerge w:val="continue"/>
            <w:tcBorders>
              <w:top w:val="nil"/>
              <w:left w:val="single" w:color="auto" w:sz="4" w:space="0"/>
              <w:bottom w:val="single" w:color="000000" w:sz="4" w:space="0"/>
              <w:right w:val="single" w:color="auto" w:sz="4" w:space="0"/>
            </w:tcBorders>
            <w:noWrap w:val="0"/>
            <w:vAlign w:val="center"/>
          </w:tcPr>
          <w:p w14:paraId="16A84403">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6425F7C3">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66694CE5">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909" w:type="dxa"/>
            <w:tcBorders>
              <w:top w:val="nil"/>
              <w:left w:val="nil"/>
              <w:bottom w:val="single" w:color="auto" w:sz="4" w:space="0"/>
              <w:right w:val="single" w:color="auto" w:sz="4" w:space="0"/>
            </w:tcBorders>
            <w:noWrap w:val="0"/>
            <w:vAlign w:val="center"/>
          </w:tcPr>
          <w:p w14:paraId="4C7D999A">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71" w:type="dxa"/>
            <w:tcBorders>
              <w:top w:val="nil"/>
              <w:left w:val="nil"/>
              <w:bottom w:val="single" w:color="auto" w:sz="4" w:space="0"/>
              <w:right w:val="single" w:color="auto" w:sz="4" w:space="0"/>
            </w:tcBorders>
            <w:noWrap w:val="0"/>
            <w:vAlign w:val="center"/>
          </w:tcPr>
          <w:p w14:paraId="6C5D52BF">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440" w:type="dxa"/>
            <w:tcBorders>
              <w:top w:val="nil"/>
              <w:left w:val="nil"/>
              <w:bottom w:val="single" w:color="auto" w:sz="4" w:space="0"/>
              <w:right w:val="single" w:color="auto" w:sz="4" w:space="0"/>
            </w:tcBorders>
            <w:noWrap w:val="0"/>
            <w:vAlign w:val="center"/>
          </w:tcPr>
          <w:p w14:paraId="2F7507EF">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080" w:type="dxa"/>
            <w:tcBorders>
              <w:top w:val="nil"/>
              <w:left w:val="nil"/>
              <w:bottom w:val="single" w:color="auto" w:sz="4" w:space="0"/>
              <w:right w:val="single" w:color="auto" w:sz="4" w:space="0"/>
            </w:tcBorders>
            <w:noWrap w:val="0"/>
            <w:vAlign w:val="center"/>
          </w:tcPr>
          <w:p w14:paraId="5422C869">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c>
          <w:tcPr>
            <w:tcW w:w="1276" w:type="dxa"/>
            <w:tcBorders>
              <w:top w:val="nil"/>
              <w:left w:val="nil"/>
              <w:bottom w:val="single" w:color="auto" w:sz="4" w:space="0"/>
              <w:right w:val="single" w:color="auto" w:sz="4" w:space="0"/>
            </w:tcBorders>
            <w:noWrap w:val="0"/>
            <w:vAlign w:val="center"/>
          </w:tcPr>
          <w:p w14:paraId="3CD8209C">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r>
      <w:tr w14:paraId="2F3525E7">
        <w:tblPrEx>
          <w:tblCellMar>
            <w:top w:w="0" w:type="dxa"/>
            <w:left w:w="108" w:type="dxa"/>
            <w:bottom w:w="0" w:type="dxa"/>
            <w:right w:w="108" w:type="dxa"/>
          </w:tblCellMar>
        </w:tblPrEx>
        <w:trPr>
          <w:trHeight w:val="765" w:hRule="atLeast"/>
          <w:jc w:val="center"/>
        </w:trPr>
        <w:tc>
          <w:tcPr>
            <w:tcW w:w="532" w:type="dxa"/>
            <w:tcBorders>
              <w:top w:val="nil"/>
              <w:left w:val="single" w:color="auto" w:sz="4" w:space="0"/>
              <w:bottom w:val="single" w:color="auto" w:sz="4" w:space="0"/>
              <w:right w:val="single" w:color="auto" w:sz="4" w:space="0"/>
            </w:tcBorders>
            <w:noWrap w:val="0"/>
            <w:vAlign w:val="center"/>
          </w:tcPr>
          <w:p w14:paraId="41C0AA7A">
            <w:pPr>
              <w:widowControl/>
              <w:spacing w:line="360" w:lineRule="auto"/>
              <w:jc w:val="center"/>
              <w:rPr>
                <w:rFonts w:hAnsi="宋体" w:cs="宋体"/>
                <w:color w:val="auto"/>
                <w:szCs w:val="21"/>
                <w:highlight w:val="none"/>
              </w:rPr>
            </w:pPr>
            <w:r>
              <w:rPr>
                <w:rFonts w:hint="eastAsia" w:hAnsi="宋体" w:cs="宋体"/>
                <w:color w:val="auto"/>
                <w:szCs w:val="21"/>
                <w:highlight w:val="none"/>
              </w:rPr>
              <w:t>六</w:t>
            </w:r>
          </w:p>
        </w:tc>
        <w:tc>
          <w:tcPr>
            <w:tcW w:w="1064" w:type="dxa"/>
            <w:tcBorders>
              <w:top w:val="nil"/>
              <w:left w:val="nil"/>
              <w:bottom w:val="single" w:color="auto" w:sz="4" w:space="0"/>
              <w:right w:val="single" w:color="auto" w:sz="4" w:space="0"/>
            </w:tcBorders>
            <w:noWrap w:val="0"/>
            <w:vAlign w:val="center"/>
          </w:tcPr>
          <w:p w14:paraId="4EF6AD3B">
            <w:pPr>
              <w:widowControl/>
              <w:spacing w:line="360" w:lineRule="auto"/>
              <w:jc w:val="center"/>
              <w:rPr>
                <w:rFonts w:hAnsi="宋体" w:cs="宋体"/>
                <w:color w:val="auto"/>
                <w:szCs w:val="21"/>
                <w:highlight w:val="none"/>
              </w:rPr>
            </w:pPr>
            <w:r>
              <w:rPr>
                <w:rFonts w:hint="eastAsia" w:hAnsi="宋体" w:cs="宋体"/>
                <w:color w:val="auto"/>
                <w:szCs w:val="21"/>
                <w:highlight w:val="none"/>
              </w:rPr>
              <w:t>其它</w:t>
            </w:r>
          </w:p>
        </w:tc>
        <w:tc>
          <w:tcPr>
            <w:tcW w:w="7255" w:type="dxa"/>
            <w:gridSpan w:val="6"/>
            <w:tcBorders>
              <w:top w:val="single" w:color="auto" w:sz="4" w:space="0"/>
              <w:left w:val="nil"/>
              <w:bottom w:val="single" w:color="auto" w:sz="4" w:space="0"/>
              <w:right w:val="single" w:color="000000" w:sz="4" w:space="0"/>
            </w:tcBorders>
            <w:noWrap w:val="0"/>
            <w:vAlign w:val="center"/>
          </w:tcPr>
          <w:p w14:paraId="56A92DBA">
            <w:pPr>
              <w:widowControl/>
              <w:spacing w:line="360" w:lineRule="auto"/>
              <w:jc w:val="center"/>
              <w:rPr>
                <w:rFonts w:hAnsi="宋体" w:cs="宋体"/>
                <w:color w:val="auto"/>
                <w:szCs w:val="21"/>
                <w:highlight w:val="none"/>
              </w:rPr>
            </w:pPr>
            <w:r>
              <w:rPr>
                <w:rFonts w:hint="eastAsia" w:hAnsi="宋体" w:cs="宋体"/>
                <w:strike w:val="0"/>
                <w:dstrike w:val="0"/>
                <w:color w:val="auto"/>
                <w:szCs w:val="21"/>
                <w:highlight w:val="none"/>
                <w:u w:val="none"/>
                <w:shd w:val="clear" w:fill="auto"/>
              </w:rPr>
              <w:t>　</w:t>
            </w:r>
          </w:p>
        </w:tc>
      </w:tr>
      <w:tr w14:paraId="235D47CB">
        <w:tblPrEx>
          <w:tblCellMar>
            <w:top w:w="0" w:type="dxa"/>
            <w:left w:w="108" w:type="dxa"/>
            <w:bottom w:w="0" w:type="dxa"/>
            <w:right w:w="108" w:type="dxa"/>
          </w:tblCellMar>
        </w:tblPrEx>
        <w:trPr>
          <w:trHeight w:val="375" w:hRule="atLeast"/>
          <w:jc w:val="center"/>
        </w:trPr>
        <w:tc>
          <w:tcPr>
            <w:tcW w:w="8851" w:type="dxa"/>
            <w:gridSpan w:val="8"/>
            <w:noWrap w:val="0"/>
            <w:vAlign w:val="center"/>
          </w:tcPr>
          <w:p w14:paraId="442F60D7">
            <w:pPr>
              <w:widowControl/>
              <w:spacing w:line="360" w:lineRule="auto"/>
              <w:rPr>
                <w:rFonts w:hAnsi="宋体" w:cs="宋体"/>
                <w:color w:val="auto"/>
                <w:szCs w:val="21"/>
                <w:highlight w:val="none"/>
              </w:rPr>
            </w:pPr>
            <w:r>
              <w:rPr>
                <w:rFonts w:hint="eastAsia" w:hAnsi="宋体" w:cs="宋体"/>
                <w:color w:val="auto"/>
                <w:szCs w:val="21"/>
                <w:highlight w:val="none"/>
              </w:rPr>
              <w:t>技术总负责人：</w:t>
            </w:r>
            <w:r>
              <w:rPr>
                <w:rFonts w:hAnsi="宋体" w:cs="宋体"/>
                <w:color w:val="auto"/>
                <w:szCs w:val="21"/>
                <w:highlight w:val="none"/>
              </w:rPr>
              <w:t xml:space="preserve">                        </w:t>
            </w:r>
            <w:r>
              <w:rPr>
                <w:rFonts w:hint="eastAsia" w:hAnsi="宋体" w:cs="宋体"/>
                <w:color w:val="auto"/>
                <w:szCs w:val="21"/>
                <w:highlight w:val="none"/>
              </w:rPr>
              <w:t>单位法定代表人：</w:t>
            </w:r>
          </w:p>
        </w:tc>
      </w:tr>
    </w:tbl>
    <w:p w14:paraId="5964E8A8">
      <w:pPr>
        <w:pStyle w:val="22"/>
        <w:rPr>
          <w:color w:val="auto"/>
          <w:highlight w:val="none"/>
        </w:rPr>
      </w:pPr>
    </w:p>
    <w:p w14:paraId="2648E9A4">
      <w:pPr>
        <w:pStyle w:val="6"/>
        <w:bidi w:val="0"/>
        <w:rPr>
          <w:rFonts w:hint="eastAsia"/>
          <w:highlight w:val="none"/>
          <w:lang w:eastAsia="zh-CN"/>
        </w:rPr>
      </w:pPr>
      <w:r>
        <w:rPr>
          <w:rFonts w:hint="eastAsia"/>
          <w:highlight w:val="none"/>
        </w:rPr>
        <w:t>附件</w:t>
      </w:r>
      <w:r>
        <w:rPr>
          <w:rFonts w:hint="eastAsia"/>
          <w:highlight w:val="none"/>
          <w:lang w:val="en-US" w:eastAsia="zh-CN"/>
        </w:rPr>
        <w:t>六</w:t>
      </w:r>
      <w:r>
        <w:rPr>
          <w:rFonts w:hint="eastAsia"/>
          <w:highlight w:val="none"/>
          <w:lang w:eastAsia="zh-CN"/>
        </w:rPr>
        <w:t>：</w:t>
      </w:r>
      <w:r>
        <w:rPr>
          <w:rFonts w:hint="eastAsia"/>
          <w:highlight w:val="none"/>
        </w:rPr>
        <w:t>工程造价咨询项目完成时间要求</w:t>
      </w:r>
    </w:p>
    <w:p w14:paraId="61D7B3DD">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根据财政部、建设部共同</w:t>
      </w:r>
      <w:r>
        <w:rPr>
          <w:rFonts w:hint="eastAsia" w:ascii="宋体" w:hAnsi="宋体"/>
          <w:strike w:val="0"/>
          <w:dstrike w:val="0"/>
          <w:color w:val="auto"/>
          <w:szCs w:val="21"/>
          <w:highlight w:val="none"/>
          <w:u w:val="none"/>
          <w:shd w:val="clear" w:fill="auto"/>
        </w:rPr>
        <w:t>颁</w:t>
      </w:r>
      <w:r>
        <w:rPr>
          <w:rFonts w:hint="eastAsia" w:ascii="宋体" w:hAnsi="宋体"/>
          <w:color w:val="auto"/>
          <w:szCs w:val="21"/>
          <w:highlight w:val="none"/>
        </w:rPr>
        <w:t>发的《建设工程价款结算暂行</w:t>
      </w:r>
      <w:r>
        <w:rPr>
          <w:rFonts w:hint="eastAsia" w:ascii="宋体" w:hAnsi="宋体"/>
          <w:strike w:val="0"/>
          <w:dstrike w:val="0"/>
          <w:color w:val="auto"/>
          <w:szCs w:val="21"/>
          <w:highlight w:val="none"/>
          <w:u w:val="none"/>
          <w:shd w:val="clear" w:fill="auto"/>
        </w:rPr>
        <w:t>规定</w:t>
      </w:r>
      <w:r>
        <w:rPr>
          <w:rFonts w:hint="eastAsia" w:ascii="宋体" w:hAnsi="宋体"/>
          <w:color w:val="auto"/>
          <w:szCs w:val="21"/>
          <w:highlight w:val="none"/>
        </w:rPr>
        <w:t>》（财建</w:t>
      </w:r>
      <w:r>
        <w:rPr>
          <w:rFonts w:ascii="宋体" w:hAnsi="宋体"/>
          <w:color w:val="auto"/>
          <w:szCs w:val="21"/>
          <w:highlight w:val="none"/>
        </w:rPr>
        <w:t>[2004]369号）及广东省财政厅《广东省财政性资金基本建设投资评审暂行办法》（粤财基[2000]18号）的规定，结合</w:t>
      </w:r>
      <w:r>
        <w:rPr>
          <w:rFonts w:hint="eastAsia" w:ascii="宋体" w:hAnsi="宋体"/>
          <w:color w:val="auto"/>
          <w:szCs w:val="21"/>
          <w:highlight w:val="none"/>
          <w:lang w:eastAsia="zh-CN"/>
        </w:rPr>
        <w:t>采购人</w:t>
      </w:r>
      <w:r>
        <w:rPr>
          <w:rFonts w:ascii="宋体" w:hAnsi="宋体"/>
          <w:color w:val="auto"/>
          <w:szCs w:val="21"/>
          <w:highlight w:val="none"/>
        </w:rPr>
        <w:t>的实际情况，中介机构的审核时限一般参照以下</w:t>
      </w:r>
      <w:r>
        <w:rPr>
          <w:rFonts w:ascii="宋体" w:hAnsi="宋体"/>
          <w:strike w:val="0"/>
          <w:dstrike w:val="0"/>
          <w:color w:val="auto"/>
          <w:szCs w:val="21"/>
          <w:highlight w:val="none"/>
          <w:u w:val="none"/>
          <w:shd w:val="clear" w:fill="auto"/>
        </w:rPr>
        <w:t>的</w:t>
      </w:r>
      <w:r>
        <w:rPr>
          <w:rFonts w:ascii="宋体" w:hAnsi="宋体"/>
          <w:color w:val="auto"/>
          <w:szCs w:val="21"/>
          <w:highlight w:val="none"/>
        </w:rPr>
        <w:t>标准执行：</w:t>
      </w:r>
    </w:p>
    <w:p w14:paraId="045E13DB">
      <w:pPr>
        <w:spacing w:line="360" w:lineRule="auto"/>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单位：工作日</w:t>
      </w:r>
    </w:p>
    <w:tbl>
      <w:tblPr>
        <w:tblStyle w:val="29"/>
        <w:tblW w:w="9061" w:type="dxa"/>
        <w:jc w:val="center"/>
        <w:tblLayout w:type="fixed"/>
        <w:tblCellMar>
          <w:top w:w="0" w:type="dxa"/>
          <w:left w:w="108" w:type="dxa"/>
          <w:bottom w:w="0" w:type="dxa"/>
          <w:right w:w="108" w:type="dxa"/>
        </w:tblCellMar>
      </w:tblPr>
      <w:tblGrid>
        <w:gridCol w:w="569"/>
        <w:gridCol w:w="2644"/>
        <w:gridCol w:w="748"/>
        <w:gridCol w:w="802"/>
        <w:gridCol w:w="873"/>
        <w:gridCol w:w="802"/>
        <w:gridCol w:w="784"/>
        <w:gridCol w:w="825"/>
        <w:gridCol w:w="1014"/>
      </w:tblGrid>
      <w:tr w14:paraId="7F5B3041">
        <w:tblPrEx>
          <w:tblCellMar>
            <w:top w:w="0" w:type="dxa"/>
            <w:left w:w="108" w:type="dxa"/>
            <w:bottom w:w="0" w:type="dxa"/>
            <w:right w:w="108" w:type="dxa"/>
          </w:tblCellMar>
        </w:tblPrEx>
        <w:trPr>
          <w:cantSplit/>
          <w:trHeight w:val="640" w:hRule="atLeast"/>
          <w:jc w:val="center"/>
        </w:trPr>
        <w:tc>
          <w:tcPr>
            <w:tcW w:w="569" w:type="dxa"/>
            <w:vMerge w:val="restart"/>
            <w:tcBorders>
              <w:top w:val="single" w:color="auto" w:sz="4" w:space="0"/>
              <w:left w:val="single" w:color="auto" w:sz="4" w:space="0"/>
              <w:bottom w:val="single" w:color="000000" w:sz="4" w:space="0"/>
              <w:right w:val="single" w:color="auto" w:sz="4" w:space="0"/>
            </w:tcBorders>
            <w:noWrap w:val="0"/>
            <w:vAlign w:val="center"/>
          </w:tcPr>
          <w:p w14:paraId="703A383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644" w:type="dxa"/>
            <w:vMerge w:val="restart"/>
            <w:tcBorders>
              <w:top w:val="single" w:color="auto" w:sz="4" w:space="0"/>
              <w:left w:val="single" w:color="auto" w:sz="4" w:space="0"/>
              <w:bottom w:val="single" w:color="000000" w:sz="4" w:space="0"/>
              <w:right w:val="single" w:color="auto" w:sz="4" w:space="0"/>
            </w:tcBorders>
            <w:noWrap w:val="0"/>
            <w:vAlign w:val="center"/>
          </w:tcPr>
          <w:p w14:paraId="69F1BDA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项目</w:t>
            </w:r>
          </w:p>
        </w:tc>
        <w:tc>
          <w:tcPr>
            <w:tcW w:w="1550" w:type="dxa"/>
            <w:gridSpan w:val="2"/>
            <w:tcBorders>
              <w:top w:val="single" w:color="auto" w:sz="4" w:space="0"/>
              <w:left w:val="nil"/>
              <w:bottom w:val="single" w:color="auto" w:sz="4" w:space="0"/>
              <w:right w:val="single" w:color="auto" w:sz="4" w:space="0"/>
            </w:tcBorders>
            <w:noWrap w:val="0"/>
            <w:vAlign w:val="center"/>
          </w:tcPr>
          <w:p w14:paraId="278F816C">
            <w:pPr>
              <w:jc w:val="center"/>
              <w:rPr>
                <w:rFonts w:ascii="宋体" w:hAnsi="宋体" w:cs="宋体"/>
                <w:color w:val="auto"/>
                <w:kern w:val="0"/>
                <w:szCs w:val="21"/>
                <w:highlight w:val="none"/>
              </w:rPr>
            </w:pPr>
            <w:r>
              <w:rPr>
                <w:rFonts w:hint="eastAsia" w:ascii="宋体" w:hAnsi="宋体" w:cs="宋体"/>
                <w:color w:val="auto"/>
                <w:kern w:val="0"/>
                <w:szCs w:val="21"/>
                <w:highlight w:val="none"/>
              </w:rPr>
              <w:t>市政路桥</w:t>
            </w:r>
          </w:p>
        </w:tc>
        <w:tc>
          <w:tcPr>
            <w:tcW w:w="1675" w:type="dxa"/>
            <w:gridSpan w:val="2"/>
            <w:tcBorders>
              <w:top w:val="single" w:color="auto" w:sz="4" w:space="0"/>
              <w:left w:val="nil"/>
              <w:bottom w:val="single" w:color="auto" w:sz="4" w:space="0"/>
              <w:right w:val="single" w:color="auto" w:sz="4" w:space="0"/>
            </w:tcBorders>
            <w:noWrap w:val="0"/>
            <w:vAlign w:val="center"/>
          </w:tcPr>
          <w:p w14:paraId="4D5E7230">
            <w:pPr>
              <w:jc w:val="center"/>
              <w:rPr>
                <w:rFonts w:ascii="宋体" w:hAnsi="宋体" w:cs="宋体"/>
                <w:color w:val="auto"/>
                <w:kern w:val="0"/>
                <w:szCs w:val="21"/>
                <w:highlight w:val="none"/>
              </w:rPr>
            </w:pPr>
            <w:r>
              <w:rPr>
                <w:rFonts w:hint="eastAsia" w:ascii="宋体" w:hAnsi="宋体" w:cs="宋体"/>
                <w:color w:val="auto"/>
                <w:kern w:val="0"/>
                <w:szCs w:val="21"/>
                <w:highlight w:val="none"/>
              </w:rPr>
              <w:t>土建</w:t>
            </w:r>
          </w:p>
        </w:tc>
        <w:tc>
          <w:tcPr>
            <w:tcW w:w="1609" w:type="dxa"/>
            <w:gridSpan w:val="2"/>
            <w:tcBorders>
              <w:top w:val="single" w:color="auto" w:sz="4" w:space="0"/>
              <w:left w:val="nil"/>
              <w:right w:val="single" w:color="auto" w:sz="4" w:space="0"/>
            </w:tcBorders>
            <w:noWrap w:val="0"/>
            <w:vAlign w:val="center"/>
          </w:tcPr>
          <w:p w14:paraId="5564DC39">
            <w:pPr>
              <w:jc w:val="center"/>
              <w:rPr>
                <w:rFonts w:ascii="宋体" w:hAnsi="宋体" w:cs="宋体"/>
                <w:color w:val="auto"/>
                <w:kern w:val="0"/>
                <w:szCs w:val="21"/>
                <w:highlight w:val="none"/>
              </w:rPr>
            </w:pPr>
            <w:r>
              <w:rPr>
                <w:rFonts w:hint="eastAsia" w:ascii="宋体" w:hAnsi="宋体" w:cs="宋体"/>
                <w:color w:val="auto"/>
                <w:kern w:val="0"/>
                <w:szCs w:val="21"/>
                <w:highlight w:val="none"/>
              </w:rPr>
              <w:t>安装</w:t>
            </w:r>
          </w:p>
        </w:tc>
        <w:tc>
          <w:tcPr>
            <w:tcW w:w="1014" w:type="dxa"/>
            <w:vMerge w:val="restart"/>
            <w:tcBorders>
              <w:top w:val="single" w:color="auto" w:sz="4" w:space="0"/>
              <w:left w:val="nil"/>
              <w:right w:val="single" w:color="auto" w:sz="4" w:space="0"/>
            </w:tcBorders>
            <w:noWrap w:val="0"/>
            <w:vAlign w:val="center"/>
          </w:tcPr>
          <w:p w14:paraId="35888CE9">
            <w:pPr>
              <w:widowControl/>
              <w:rPr>
                <w:rFonts w:ascii="宋体" w:hAnsi="宋体" w:cs="宋体"/>
                <w:strike w:val="0"/>
                <w:dstrike w:val="0"/>
                <w:color w:val="auto"/>
                <w:kern w:val="0"/>
                <w:szCs w:val="21"/>
                <w:highlight w:val="none"/>
                <w:u w:val="none"/>
                <w:shd w:val="clear" w:fill="auto"/>
              </w:rPr>
            </w:pPr>
            <w:r>
              <w:rPr>
                <w:rFonts w:hint="eastAsia" w:ascii="宋体" w:hAnsi="宋体" w:cs="宋体"/>
                <w:color w:val="auto"/>
                <w:kern w:val="0"/>
                <w:szCs w:val="21"/>
                <w:highlight w:val="none"/>
              </w:rPr>
              <w:t>备注</w:t>
            </w:r>
          </w:p>
          <w:p w14:paraId="6265C8A9">
            <w:pPr>
              <w:jc w:val="center"/>
              <w:rPr>
                <w:rFonts w:ascii="宋体" w:hAnsi="宋体" w:cs="宋体"/>
                <w:color w:val="auto"/>
                <w:kern w:val="0"/>
                <w:szCs w:val="21"/>
                <w:highlight w:val="none"/>
              </w:rPr>
            </w:pPr>
            <w:r>
              <w:rPr>
                <w:rFonts w:hint="eastAsia" w:ascii="宋体" w:hAnsi="宋体" w:cs="宋体"/>
                <w:strike w:val="0"/>
                <w:dstrike w:val="0"/>
                <w:color w:val="auto"/>
                <w:kern w:val="0"/>
                <w:szCs w:val="21"/>
                <w:highlight w:val="none"/>
                <w:u w:val="none"/>
                <w:shd w:val="clear" w:fill="auto"/>
              </w:rPr>
              <w:t>　</w:t>
            </w:r>
          </w:p>
        </w:tc>
      </w:tr>
      <w:tr w14:paraId="51750A4E">
        <w:tblPrEx>
          <w:tblCellMar>
            <w:top w:w="0" w:type="dxa"/>
            <w:left w:w="108" w:type="dxa"/>
            <w:bottom w:w="0" w:type="dxa"/>
            <w:right w:w="108" w:type="dxa"/>
          </w:tblCellMar>
        </w:tblPrEx>
        <w:trPr>
          <w:cantSplit/>
          <w:trHeight w:val="285" w:hRule="atLeast"/>
          <w:jc w:val="center"/>
        </w:trPr>
        <w:tc>
          <w:tcPr>
            <w:tcW w:w="569" w:type="dxa"/>
            <w:vMerge w:val="continue"/>
            <w:tcBorders>
              <w:top w:val="single" w:color="auto" w:sz="4" w:space="0"/>
              <w:left w:val="single" w:color="auto" w:sz="4" w:space="0"/>
              <w:bottom w:val="single" w:color="000000" w:sz="4" w:space="0"/>
              <w:right w:val="single" w:color="auto" w:sz="4" w:space="0"/>
            </w:tcBorders>
            <w:noWrap w:val="0"/>
            <w:vAlign w:val="center"/>
          </w:tcPr>
          <w:p w14:paraId="496725C1">
            <w:pPr>
              <w:widowControl/>
              <w:jc w:val="left"/>
              <w:rPr>
                <w:rFonts w:ascii="宋体" w:hAnsi="宋体" w:cs="宋体"/>
                <w:color w:val="auto"/>
                <w:kern w:val="0"/>
                <w:szCs w:val="21"/>
                <w:highlight w:val="none"/>
              </w:rPr>
            </w:pPr>
          </w:p>
        </w:tc>
        <w:tc>
          <w:tcPr>
            <w:tcW w:w="2644" w:type="dxa"/>
            <w:vMerge w:val="continue"/>
            <w:tcBorders>
              <w:top w:val="single" w:color="auto" w:sz="4" w:space="0"/>
              <w:left w:val="single" w:color="auto" w:sz="4" w:space="0"/>
              <w:bottom w:val="single" w:color="000000" w:sz="4" w:space="0"/>
              <w:right w:val="single" w:color="auto" w:sz="4" w:space="0"/>
            </w:tcBorders>
            <w:noWrap w:val="0"/>
            <w:vAlign w:val="center"/>
          </w:tcPr>
          <w:p w14:paraId="5EE046DF">
            <w:pPr>
              <w:widowControl/>
              <w:jc w:val="left"/>
              <w:rPr>
                <w:rFonts w:ascii="宋体" w:hAnsi="宋体" w:cs="宋体"/>
                <w:color w:val="auto"/>
                <w:kern w:val="0"/>
                <w:szCs w:val="21"/>
                <w:highlight w:val="none"/>
              </w:rPr>
            </w:pPr>
          </w:p>
        </w:tc>
        <w:tc>
          <w:tcPr>
            <w:tcW w:w="748" w:type="dxa"/>
            <w:tcBorders>
              <w:top w:val="single" w:color="auto" w:sz="4" w:space="0"/>
              <w:left w:val="nil"/>
              <w:bottom w:val="single" w:color="auto" w:sz="4" w:space="0"/>
              <w:right w:val="single" w:color="auto" w:sz="4" w:space="0"/>
            </w:tcBorders>
            <w:noWrap w:val="0"/>
            <w:vAlign w:val="center"/>
          </w:tcPr>
          <w:p w14:paraId="1DB0BB1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审核</w:t>
            </w:r>
          </w:p>
        </w:tc>
        <w:tc>
          <w:tcPr>
            <w:tcW w:w="802" w:type="dxa"/>
            <w:tcBorders>
              <w:top w:val="single" w:color="auto" w:sz="4" w:space="0"/>
              <w:left w:val="nil"/>
              <w:bottom w:val="single" w:color="auto" w:sz="4" w:space="0"/>
              <w:right w:val="single" w:color="auto" w:sz="4" w:space="0"/>
            </w:tcBorders>
            <w:noWrap w:val="0"/>
            <w:vAlign w:val="center"/>
          </w:tcPr>
          <w:p w14:paraId="3F262DC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编制</w:t>
            </w:r>
          </w:p>
        </w:tc>
        <w:tc>
          <w:tcPr>
            <w:tcW w:w="873" w:type="dxa"/>
            <w:tcBorders>
              <w:top w:val="nil"/>
              <w:left w:val="nil"/>
              <w:bottom w:val="single" w:color="auto" w:sz="4" w:space="0"/>
              <w:right w:val="single" w:color="auto" w:sz="4" w:space="0"/>
            </w:tcBorders>
            <w:noWrap w:val="0"/>
            <w:vAlign w:val="center"/>
          </w:tcPr>
          <w:p w14:paraId="5CFE1E6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审核</w:t>
            </w:r>
          </w:p>
        </w:tc>
        <w:tc>
          <w:tcPr>
            <w:tcW w:w="802" w:type="dxa"/>
            <w:tcBorders>
              <w:top w:val="nil"/>
              <w:left w:val="nil"/>
              <w:bottom w:val="single" w:color="auto" w:sz="4" w:space="0"/>
              <w:right w:val="single" w:color="auto" w:sz="4" w:space="0"/>
            </w:tcBorders>
            <w:noWrap w:val="0"/>
            <w:vAlign w:val="center"/>
          </w:tcPr>
          <w:p w14:paraId="1BFDC30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编制</w:t>
            </w:r>
          </w:p>
        </w:tc>
        <w:tc>
          <w:tcPr>
            <w:tcW w:w="784" w:type="dxa"/>
            <w:tcBorders>
              <w:top w:val="single" w:color="auto" w:sz="4" w:space="0"/>
              <w:left w:val="nil"/>
              <w:bottom w:val="single" w:color="auto" w:sz="4" w:space="0"/>
              <w:right w:val="single" w:color="auto" w:sz="4" w:space="0"/>
            </w:tcBorders>
            <w:noWrap w:val="0"/>
            <w:vAlign w:val="center"/>
          </w:tcPr>
          <w:p w14:paraId="376AB43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审核</w:t>
            </w:r>
          </w:p>
        </w:tc>
        <w:tc>
          <w:tcPr>
            <w:tcW w:w="825" w:type="dxa"/>
            <w:tcBorders>
              <w:top w:val="single" w:color="auto" w:sz="4" w:space="0"/>
              <w:left w:val="nil"/>
              <w:bottom w:val="single" w:color="auto" w:sz="4" w:space="0"/>
              <w:right w:val="single" w:color="auto" w:sz="4" w:space="0"/>
            </w:tcBorders>
            <w:noWrap w:val="0"/>
            <w:vAlign w:val="center"/>
          </w:tcPr>
          <w:p w14:paraId="2D7F36E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编制</w:t>
            </w:r>
          </w:p>
        </w:tc>
        <w:tc>
          <w:tcPr>
            <w:tcW w:w="1014" w:type="dxa"/>
            <w:vMerge w:val="continue"/>
            <w:tcBorders>
              <w:left w:val="nil"/>
              <w:bottom w:val="single" w:color="auto" w:sz="4" w:space="0"/>
              <w:right w:val="single" w:color="auto" w:sz="4" w:space="0"/>
            </w:tcBorders>
            <w:noWrap w:val="0"/>
            <w:vAlign w:val="center"/>
          </w:tcPr>
          <w:p w14:paraId="0A4DE15B">
            <w:pPr>
              <w:widowControl/>
              <w:jc w:val="center"/>
              <w:rPr>
                <w:rFonts w:ascii="宋体" w:hAnsi="宋体" w:cs="宋体"/>
                <w:color w:val="auto"/>
                <w:kern w:val="0"/>
                <w:szCs w:val="21"/>
                <w:highlight w:val="none"/>
              </w:rPr>
            </w:pPr>
          </w:p>
        </w:tc>
      </w:tr>
      <w:tr w14:paraId="68358793">
        <w:tblPrEx>
          <w:tblCellMar>
            <w:top w:w="0" w:type="dxa"/>
            <w:left w:w="108" w:type="dxa"/>
            <w:bottom w:w="0" w:type="dxa"/>
            <w:right w:w="108" w:type="dxa"/>
          </w:tblCellMar>
        </w:tblPrEx>
        <w:trPr>
          <w:trHeight w:val="570" w:hRule="atLeast"/>
          <w:jc w:val="center"/>
        </w:trPr>
        <w:tc>
          <w:tcPr>
            <w:tcW w:w="569" w:type="dxa"/>
            <w:tcBorders>
              <w:top w:val="nil"/>
              <w:left w:val="single" w:color="auto" w:sz="4" w:space="0"/>
              <w:bottom w:val="single" w:color="auto" w:sz="4" w:space="0"/>
              <w:right w:val="single" w:color="auto" w:sz="4" w:space="0"/>
            </w:tcBorders>
            <w:noWrap w:val="0"/>
            <w:vAlign w:val="center"/>
          </w:tcPr>
          <w:p w14:paraId="13D618A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一</w:t>
            </w:r>
          </w:p>
        </w:tc>
        <w:tc>
          <w:tcPr>
            <w:tcW w:w="2644" w:type="dxa"/>
            <w:tcBorders>
              <w:top w:val="nil"/>
              <w:left w:val="nil"/>
              <w:bottom w:val="single" w:color="auto" w:sz="4" w:space="0"/>
              <w:right w:val="single" w:color="auto" w:sz="4" w:space="0"/>
            </w:tcBorders>
            <w:noWrap w:val="0"/>
            <w:vAlign w:val="center"/>
          </w:tcPr>
          <w:p w14:paraId="74C068D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概、预算</w:t>
            </w:r>
            <w:r>
              <w:rPr>
                <w:rFonts w:ascii="宋体" w:hAnsi="宋体" w:cs="宋体"/>
                <w:color w:val="auto"/>
                <w:kern w:val="0"/>
                <w:szCs w:val="21"/>
                <w:highlight w:val="none"/>
              </w:rPr>
              <w:t>(含招标工程量清单)、进度款</w:t>
            </w:r>
          </w:p>
        </w:tc>
        <w:tc>
          <w:tcPr>
            <w:tcW w:w="748" w:type="dxa"/>
            <w:tcBorders>
              <w:top w:val="nil"/>
              <w:left w:val="nil"/>
              <w:bottom w:val="single" w:color="auto" w:sz="4" w:space="0"/>
              <w:right w:val="single" w:color="auto" w:sz="4" w:space="0"/>
            </w:tcBorders>
            <w:noWrap w:val="0"/>
            <w:vAlign w:val="center"/>
          </w:tcPr>
          <w:p w14:paraId="3652BB92">
            <w:pPr>
              <w:widowControl/>
              <w:jc w:val="center"/>
              <w:rPr>
                <w:rFonts w:ascii="宋体" w:hAnsi="宋体" w:cs="宋体"/>
                <w:b/>
                <w:bCs/>
                <w:color w:val="auto"/>
                <w:kern w:val="0"/>
                <w:szCs w:val="21"/>
                <w:highlight w:val="none"/>
              </w:rPr>
            </w:pPr>
            <w:r>
              <w:rPr>
                <w:rFonts w:hint="eastAsia" w:ascii="宋体" w:hAnsi="宋体" w:cs="宋体"/>
                <w:b/>
                <w:bCs/>
                <w:strike w:val="0"/>
                <w:dstrike w:val="0"/>
                <w:color w:val="auto"/>
                <w:kern w:val="0"/>
                <w:szCs w:val="21"/>
                <w:highlight w:val="none"/>
                <w:u w:val="none"/>
                <w:shd w:val="clear" w:fill="auto"/>
              </w:rPr>
              <w:t>　</w:t>
            </w:r>
          </w:p>
        </w:tc>
        <w:tc>
          <w:tcPr>
            <w:tcW w:w="802" w:type="dxa"/>
            <w:tcBorders>
              <w:top w:val="nil"/>
              <w:left w:val="nil"/>
              <w:bottom w:val="single" w:color="auto" w:sz="4" w:space="0"/>
              <w:right w:val="single" w:color="auto" w:sz="4" w:space="0"/>
            </w:tcBorders>
            <w:noWrap w:val="0"/>
            <w:vAlign w:val="center"/>
          </w:tcPr>
          <w:p w14:paraId="0C9F55A2">
            <w:pPr>
              <w:widowControl/>
              <w:jc w:val="center"/>
              <w:rPr>
                <w:rFonts w:ascii="宋体" w:hAnsi="宋体" w:cs="宋体"/>
                <w:b/>
                <w:bCs/>
                <w:color w:val="auto"/>
                <w:kern w:val="0"/>
                <w:szCs w:val="21"/>
                <w:highlight w:val="none"/>
              </w:rPr>
            </w:pPr>
            <w:r>
              <w:rPr>
                <w:rFonts w:hint="eastAsia" w:ascii="宋体" w:hAnsi="宋体" w:cs="宋体"/>
                <w:b/>
                <w:bCs/>
                <w:strike w:val="0"/>
                <w:dstrike w:val="0"/>
                <w:color w:val="auto"/>
                <w:kern w:val="0"/>
                <w:szCs w:val="21"/>
                <w:highlight w:val="none"/>
                <w:u w:val="none"/>
                <w:shd w:val="clear" w:fill="auto"/>
              </w:rPr>
              <w:t>　</w:t>
            </w:r>
          </w:p>
        </w:tc>
        <w:tc>
          <w:tcPr>
            <w:tcW w:w="873" w:type="dxa"/>
            <w:tcBorders>
              <w:top w:val="nil"/>
              <w:left w:val="nil"/>
              <w:bottom w:val="single" w:color="auto" w:sz="4" w:space="0"/>
              <w:right w:val="single" w:color="auto" w:sz="4" w:space="0"/>
            </w:tcBorders>
            <w:noWrap w:val="0"/>
            <w:vAlign w:val="center"/>
          </w:tcPr>
          <w:p w14:paraId="79165767">
            <w:pPr>
              <w:widowControl/>
              <w:jc w:val="center"/>
              <w:rPr>
                <w:rFonts w:ascii="宋体" w:hAnsi="宋体" w:cs="宋体"/>
                <w:b/>
                <w:bCs/>
                <w:color w:val="auto"/>
                <w:kern w:val="0"/>
                <w:szCs w:val="21"/>
                <w:highlight w:val="none"/>
              </w:rPr>
            </w:pPr>
            <w:r>
              <w:rPr>
                <w:rFonts w:hint="eastAsia" w:ascii="宋体" w:hAnsi="宋体" w:cs="宋体"/>
                <w:b/>
                <w:bCs/>
                <w:strike w:val="0"/>
                <w:dstrike w:val="0"/>
                <w:color w:val="auto"/>
                <w:kern w:val="0"/>
                <w:szCs w:val="21"/>
                <w:highlight w:val="none"/>
                <w:u w:val="none"/>
                <w:shd w:val="clear" w:fill="auto"/>
              </w:rPr>
              <w:t>　</w:t>
            </w:r>
          </w:p>
        </w:tc>
        <w:tc>
          <w:tcPr>
            <w:tcW w:w="802" w:type="dxa"/>
            <w:tcBorders>
              <w:top w:val="nil"/>
              <w:left w:val="nil"/>
              <w:bottom w:val="single" w:color="auto" w:sz="4" w:space="0"/>
              <w:right w:val="single" w:color="auto" w:sz="4" w:space="0"/>
            </w:tcBorders>
            <w:noWrap w:val="0"/>
            <w:vAlign w:val="center"/>
          </w:tcPr>
          <w:p w14:paraId="7E061EC7">
            <w:pPr>
              <w:widowControl/>
              <w:jc w:val="center"/>
              <w:rPr>
                <w:rFonts w:ascii="宋体" w:hAnsi="宋体" w:cs="宋体"/>
                <w:b/>
                <w:bCs/>
                <w:color w:val="auto"/>
                <w:kern w:val="0"/>
                <w:szCs w:val="21"/>
                <w:highlight w:val="none"/>
              </w:rPr>
            </w:pPr>
            <w:r>
              <w:rPr>
                <w:rFonts w:hint="eastAsia" w:ascii="宋体" w:hAnsi="宋体" w:cs="宋体"/>
                <w:b/>
                <w:bCs/>
                <w:strike w:val="0"/>
                <w:dstrike w:val="0"/>
                <w:color w:val="auto"/>
                <w:kern w:val="0"/>
                <w:szCs w:val="21"/>
                <w:highlight w:val="none"/>
                <w:u w:val="none"/>
                <w:shd w:val="clear" w:fill="auto"/>
              </w:rPr>
              <w:t>　</w:t>
            </w:r>
          </w:p>
        </w:tc>
        <w:tc>
          <w:tcPr>
            <w:tcW w:w="784" w:type="dxa"/>
            <w:tcBorders>
              <w:top w:val="nil"/>
              <w:left w:val="nil"/>
              <w:bottom w:val="single" w:color="auto" w:sz="4" w:space="0"/>
              <w:right w:val="single" w:color="auto" w:sz="4" w:space="0"/>
            </w:tcBorders>
            <w:noWrap w:val="0"/>
            <w:vAlign w:val="center"/>
          </w:tcPr>
          <w:p w14:paraId="7CB765D3">
            <w:pPr>
              <w:widowControl/>
              <w:jc w:val="center"/>
              <w:rPr>
                <w:rFonts w:ascii="宋体" w:hAnsi="宋体" w:cs="宋体"/>
                <w:b/>
                <w:bCs/>
                <w:color w:val="auto"/>
                <w:kern w:val="0"/>
                <w:szCs w:val="21"/>
                <w:highlight w:val="none"/>
              </w:rPr>
            </w:pPr>
            <w:r>
              <w:rPr>
                <w:rFonts w:hint="eastAsia" w:ascii="宋体" w:hAnsi="宋体" w:cs="宋体"/>
                <w:b/>
                <w:bCs/>
                <w:strike w:val="0"/>
                <w:dstrike w:val="0"/>
                <w:color w:val="auto"/>
                <w:kern w:val="0"/>
                <w:szCs w:val="21"/>
                <w:highlight w:val="none"/>
                <w:u w:val="none"/>
                <w:shd w:val="clear" w:fill="auto"/>
              </w:rPr>
              <w:t>　</w:t>
            </w:r>
          </w:p>
        </w:tc>
        <w:tc>
          <w:tcPr>
            <w:tcW w:w="825" w:type="dxa"/>
            <w:tcBorders>
              <w:top w:val="nil"/>
              <w:left w:val="nil"/>
              <w:bottom w:val="single" w:color="auto" w:sz="4" w:space="0"/>
              <w:right w:val="single" w:color="auto" w:sz="4" w:space="0"/>
            </w:tcBorders>
            <w:noWrap w:val="0"/>
            <w:vAlign w:val="center"/>
          </w:tcPr>
          <w:p w14:paraId="48E99CBC">
            <w:pPr>
              <w:widowControl/>
              <w:jc w:val="center"/>
              <w:rPr>
                <w:rFonts w:ascii="宋体" w:hAnsi="宋体" w:cs="宋体"/>
                <w:b/>
                <w:bCs/>
                <w:color w:val="auto"/>
                <w:kern w:val="0"/>
                <w:szCs w:val="21"/>
                <w:highlight w:val="none"/>
              </w:rPr>
            </w:pPr>
            <w:r>
              <w:rPr>
                <w:rFonts w:hint="eastAsia" w:ascii="宋体" w:hAnsi="宋体" w:cs="宋体"/>
                <w:b/>
                <w:bCs/>
                <w:strike w:val="0"/>
                <w:dstrike w:val="0"/>
                <w:color w:val="auto"/>
                <w:kern w:val="0"/>
                <w:szCs w:val="21"/>
                <w:highlight w:val="none"/>
                <w:u w:val="none"/>
                <w:shd w:val="clear" w:fill="auto"/>
              </w:rPr>
              <w:t>　</w:t>
            </w:r>
          </w:p>
        </w:tc>
        <w:tc>
          <w:tcPr>
            <w:tcW w:w="1014" w:type="dxa"/>
            <w:tcBorders>
              <w:top w:val="nil"/>
              <w:left w:val="nil"/>
              <w:bottom w:val="single" w:color="auto" w:sz="4" w:space="0"/>
              <w:right w:val="single" w:color="auto" w:sz="4" w:space="0"/>
            </w:tcBorders>
            <w:noWrap w:val="0"/>
            <w:vAlign w:val="center"/>
          </w:tcPr>
          <w:p w14:paraId="123A2920">
            <w:pPr>
              <w:widowControl/>
              <w:jc w:val="center"/>
              <w:rPr>
                <w:rFonts w:ascii="宋体" w:hAnsi="宋体" w:cs="宋体"/>
                <w:color w:val="auto"/>
                <w:kern w:val="0"/>
                <w:szCs w:val="21"/>
                <w:highlight w:val="none"/>
              </w:rPr>
            </w:pPr>
            <w:r>
              <w:rPr>
                <w:rFonts w:hint="eastAsia" w:ascii="宋体" w:hAnsi="宋体" w:cs="宋体"/>
                <w:strike w:val="0"/>
                <w:dstrike w:val="0"/>
                <w:color w:val="auto"/>
                <w:kern w:val="0"/>
                <w:szCs w:val="21"/>
                <w:highlight w:val="none"/>
                <w:u w:val="none"/>
                <w:shd w:val="clear" w:fill="auto"/>
              </w:rPr>
              <w:t>　</w:t>
            </w:r>
          </w:p>
        </w:tc>
      </w:tr>
      <w:tr w14:paraId="0458FC02">
        <w:tblPrEx>
          <w:tblCellMar>
            <w:top w:w="0" w:type="dxa"/>
            <w:left w:w="108" w:type="dxa"/>
            <w:bottom w:w="0" w:type="dxa"/>
            <w:right w:w="108" w:type="dxa"/>
          </w:tblCellMar>
        </w:tblPrEx>
        <w:trPr>
          <w:trHeight w:val="285" w:hRule="atLeast"/>
          <w:jc w:val="center"/>
        </w:trPr>
        <w:tc>
          <w:tcPr>
            <w:tcW w:w="569" w:type="dxa"/>
            <w:tcBorders>
              <w:top w:val="nil"/>
              <w:left w:val="single" w:color="auto" w:sz="4" w:space="0"/>
              <w:bottom w:val="single" w:color="auto" w:sz="4" w:space="0"/>
              <w:right w:val="single" w:color="auto" w:sz="4" w:space="0"/>
            </w:tcBorders>
            <w:noWrap w:val="0"/>
            <w:vAlign w:val="center"/>
          </w:tcPr>
          <w:p w14:paraId="6F98E46D">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2644" w:type="dxa"/>
            <w:tcBorders>
              <w:top w:val="nil"/>
              <w:left w:val="nil"/>
              <w:bottom w:val="single" w:color="auto" w:sz="4" w:space="0"/>
              <w:right w:val="single" w:color="auto" w:sz="4" w:space="0"/>
            </w:tcBorders>
            <w:noWrap w:val="0"/>
            <w:vAlign w:val="center"/>
          </w:tcPr>
          <w:p w14:paraId="3B9294B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投资</w:t>
            </w:r>
            <w:r>
              <w:rPr>
                <w:rFonts w:ascii="宋体" w:hAnsi="宋体" w:cs="宋体"/>
                <w:color w:val="auto"/>
                <w:kern w:val="0"/>
                <w:szCs w:val="21"/>
                <w:highlight w:val="none"/>
              </w:rPr>
              <w:t>500万元以内</w:t>
            </w:r>
          </w:p>
        </w:tc>
        <w:tc>
          <w:tcPr>
            <w:tcW w:w="748" w:type="dxa"/>
            <w:tcBorders>
              <w:top w:val="nil"/>
              <w:left w:val="nil"/>
              <w:bottom w:val="single" w:color="auto" w:sz="4" w:space="0"/>
              <w:right w:val="single" w:color="auto" w:sz="4" w:space="0"/>
            </w:tcBorders>
            <w:noWrap w:val="0"/>
            <w:vAlign w:val="center"/>
          </w:tcPr>
          <w:p w14:paraId="129CF2CA">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6</w:t>
            </w:r>
          </w:p>
        </w:tc>
        <w:tc>
          <w:tcPr>
            <w:tcW w:w="802" w:type="dxa"/>
            <w:tcBorders>
              <w:top w:val="nil"/>
              <w:left w:val="nil"/>
              <w:bottom w:val="single" w:color="auto" w:sz="4" w:space="0"/>
              <w:right w:val="single" w:color="auto" w:sz="4" w:space="0"/>
            </w:tcBorders>
            <w:noWrap w:val="0"/>
            <w:vAlign w:val="center"/>
          </w:tcPr>
          <w:p w14:paraId="24FD781E">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7</w:t>
            </w:r>
          </w:p>
        </w:tc>
        <w:tc>
          <w:tcPr>
            <w:tcW w:w="873" w:type="dxa"/>
            <w:tcBorders>
              <w:top w:val="nil"/>
              <w:left w:val="nil"/>
              <w:bottom w:val="single" w:color="auto" w:sz="4" w:space="0"/>
              <w:right w:val="single" w:color="auto" w:sz="4" w:space="0"/>
            </w:tcBorders>
            <w:noWrap w:val="0"/>
            <w:vAlign w:val="center"/>
          </w:tcPr>
          <w:p w14:paraId="3805ADF5">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7</w:t>
            </w:r>
          </w:p>
        </w:tc>
        <w:tc>
          <w:tcPr>
            <w:tcW w:w="802" w:type="dxa"/>
            <w:tcBorders>
              <w:top w:val="nil"/>
              <w:left w:val="nil"/>
              <w:bottom w:val="single" w:color="auto" w:sz="4" w:space="0"/>
              <w:right w:val="single" w:color="auto" w:sz="4" w:space="0"/>
            </w:tcBorders>
            <w:noWrap w:val="0"/>
            <w:vAlign w:val="center"/>
          </w:tcPr>
          <w:p w14:paraId="327FF5CB">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8</w:t>
            </w:r>
          </w:p>
        </w:tc>
        <w:tc>
          <w:tcPr>
            <w:tcW w:w="784" w:type="dxa"/>
            <w:tcBorders>
              <w:top w:val="nil"/>
              <w:left w:val="nil"/>
              <w:bottom w:val="single" w:color="auto" w:sz="4" w:space="0"/>
              <w:right w:val="single" w:color="auto" w:sz="4" w:space="0"/>
            </w:tcBorders>
            <w:noWrap w:val="0"/>
            <w:vAlign w:val="center"/>
          </w:tcPr>
          <w:p w14:paraId="1CADF304">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8</w:t>
            </w:r>
          </w:p>
        </w:tc>
        <w:tc>
          <w:tcPr>
            <w:tcW w:w="825" w:type="dxa"/>
            <w:tcBorders>
              <w:top w:val="nil"/>
              <w:left w:val="nil"/>
              <w:bottom w:val="single" w:color="auto" w:sz="4" w:space="0"/>
              <w:right w:val="single" w:color="auto" w:sz="4" w:space="0"/>
            </w:tcBorders>
            <w:noWrap w:val="0"/>
            <w:vAlign w:val="center"/>
          </w:tcPr>
          <w:p w14:paraId="267B64B0">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8</w:t>
            </w:r>
          </w:p>
        </w:tc>
        <w:tc>
          <w:tcPr>
            <w:tcW w:w="1014" w:type="dxa"/>
            <w:tcBorders>
              <w:top w:val="nil"/>
              <w:left w:val="nil"/>
              <w:bottom w:val="single" w:color="auto" w:sz="4" w:space="0"/>
              <w:right w:val="single" w:color="auto" w:sz="4" w:space="0"/>
            </w:tcBorders>
            <w:noWrap w:val="0"/>
            <w:vAlign w:val="center"/>
          </w:tcPr>
          <w:p w14:paraId="259C6850">
            <w:pPr>
              <w:widowControl/>
              <w:jc w:val="center"/>
              <w:rPr>
                <w:rFonts w:ascii="宋体" w:hAnsi="宋体" w:cs="宋体"/>
                <w:color w:val="auto"/>
                <w:kern w:val="0"/>
                <w:szCs w:val="21"/>
                <w:highlight w:val="none"/>
              </w:rPr>
            </w:pPr>
            <w:r>
              <w:rPr>
                <w:rFonts w:hint="eastAsia" w:ascii="宋体" w:hAnsi="宋体" w:cs="宋体"/>
                <w:strike w:val="0"/>
                <w:dstrike w:val="0"/>
                <w:color w:val="auto"/>
                <w:kern w:val="0"/>
                <w:szCs w:val="21"/>
                <w:highlight w:val="none"/>
                <w:u w:val="none"/>
                <w:shd w:val="clear" w:fill="auto"/>
              </w:rPr>
              <w:t>　</w:t>
            </w:r>
          </w:p>
        </w:tc>
      </w:tr>
      <w:tr w14:paraId="528FE68B">
        <w:tblPrEx>
          <w:tblCellMar>
            <w:top w:w="0" w:type="dxa"/>
            <w:left w:w="108" w:type="dxa"/>
            <w:bottom w:w="0" w:type="dxa"/>
            <w:right w:w="108" w:type="dxa"/>
          </w:tblCellMar>
        </w:tblPrEx>
        <w:trPr>
          <w:trHeight w:val="351" w:hRule="atLeast"/>
          <w:jc w:val="center"/>
        </w:trPr>
        <w:tc>
          <w:tcPr>
            <w:tcW w:w="569" w:type="dxa"/>
            <w:tcBorders>
              <w:top w:val="nil"/>
              <w:left w:val="single" w:color="auto" w:sz="4" w:space="0"/>
              <w:bottom w:val="single" w:color="auto" w:sz="4" w:space="0"/>
              <w:right w:val="single" w:color="auto" w:sz="4" w:space="0"/>
            </w:tcBorders>
            <w:noWrap w:val="0"/>
            <w:vAlign w:val="center"/>
          </w:tcPr>
          <w:p w14:paraId="2B41544E">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2644" w:type="dxa"/>
            <w:tcBorders>
              <w:top w:val="nil"/>
              <w:left w:val="nil"/>
              <w:bottom w:val="single" w:color="auto" w:sz="4" w:space="0"/>
              <w:right w:val="single" w:color="auto" w:sz="4" w:space="0"/>
            </w:tcBorders>
            <w:noWrap w:val="0"/>
            <w:vAlign w:val="center"/>
          </w:tcPr>
          <w:p w14:paraId="5A7ED7E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投资</w:t>
            </w:r>
            <w:r>
              <w:rPr>
                <w:rFonts w:ascii="宋体" w:hAnsi="宋体" w:cs="宋体"/>
                <w:color w:val="auto"/>
                <w:kern w:val="0"/>
                <w:szCs w:val="21"/>
                <w:highlight w:val="none"/>
              </w:rPr>
              <w:t>500-2500万元</w:t>
            </w:r>
          </w:p>
        </w:tc>
        <w:tc>
          <w:tcPr>
            <w:tcW w:w="748" w:type="dxa"/>
            <w:tcBorders>
              <w:top w:val="nil"/>
              <w:left w:val="nil"/>
              <w:bottom w:val="single" w:color="auto" w:sz="4" w:space="0"/>
              <w:right w:val="single" w:color="auto" w:sz="4" w:space="0"/>
            </w:tcBorders>
            <w:noWrap w:val="0"/>
            <w:vAlign w:val="center"/>
          </w:tcPr>
          <w:p w14:paraId="00D1E15A">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9</w:t>
            </w:r>
          </w:p>
        </w:tc>
        <w:tc>
          <w:tcPr>
            <w:tcW w:w="802" w:type="dxa"/>
            <w:tcBorders>
              <w:top w:val="nil"/>
              <w:left w:val="nil"/>
              <w:bottom w:val="single" w:color="auto" w:sz="4" w:space="0"/>
              <w:right w:val="single" w:color="auto" w:sz="4" w:space="0"/>
            </w:tcBorders>
            <w:noWrap w:val="0"/>
            <w:vAlign w:val="center"/>
          </w:tcPr>
          <w:p w14:paraId="0EC3A4A4">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10</w:t>
            </w:r>
          </w:p>
        </w:tc>
        <w:tc>
          <w:tcPr>
            <w:tcW w:w="873" w:type="dxa"/>
            <w:tcBorders>
              <w:top w:val="nil"/>
              <w:left w:val="nil"/>
              <w:bottom w:val="single" w:color="auto" w:sz="4" w:space="0"/>
              <w:right w:val="single" w:color="auto" w:sz="4" w:space="0"/>
            </w:tcBorders>
            <w:noWrap w:val="0"/>
            <w:vAlign w:val="center"/>
          </w:tcPr>
          <w:p w14:paraId="18A2516A">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10</w:t>
            </w:r>
          </w:p>
        </w:tc>
        <w:tc>
          <w:tcPr>
            <w:tcW w:w="802" w:type="dxa"/>
            <w:tcBorders>
              <w:top w:val="nil"/>
              <w:left w:val="nil"/>
              <w:bottom w:val="single" w:color="auto" w:sz="4" w:space="0"/>
              <w:right w:val="single" w:color="auto" w:sz="4" w:space="0"/>
            </w:tcBorders>
            <w:noWrap w:val="0"/>
            <w:vAlign w:val="center"/>
          </w:tcPr>
          <w:p w14:paraId="3C486DD5">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10</w:t>
            </w:r>
          </w:p>
        </w:tc>
        <w:tc>
          <w:tcPr>
            <w:tcW w:w="784" w:type="dxa"/>
            <w:tcBorders>
              <w:top w:val="nil"/>
              <w:left w:val="nil"/>
              <w:bottom w:val="single" w:color="auto" w:sz="4" w:space="0"/>
              <w:right w:val="single" w:color="auto" w:sz="4" w:space="0"/>
            </w:tcBorders>
            <w:noWrap w:val="0"/>
            <w:vAlign w:val="center"/>
          </w:tcPr>
          <w:p w14:paraId="5001E2AC">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11</w:t>
            </w:r>
          </w:p>
        </w:tc>
        <w:tc>
          <w:tcPr>
            <w:tcW w:w="825" w:type="dxa"/>
            <w:tcBorders>
              <w:top w:val="nil"/>
              <w:left w:val="nil"/>
              <w:bottom w:val="single" w:color="auto" w:sz="4" w:space="0"/>
              <w:right w:val="single" w:color="auto" w:sz="4" w:space="0"/>
            </w:tcBorders>
            <w:noWrap w:val="0"/>
            <w:vAlign w:val="center"/>
          </w:tcPr>
          <w:p w14:paraId="1298E503">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12</w:t>
            </w:r>
          </w:p>
        </w:tc>
        <w:tc>
          <w:tcPr>
            <w:tcW w:w="1014" w:type="dxa"/>
            <w:tcBorders>
              <w:top w:val="nil"/>
              <w:left w:val="nil"/>
              <w:bottom w:val="single" w:color="auto" w:sz="4" w:space="0"/>
              <w:right w:val="single" w:color="auto" w:sz="4" w:space="0"/>
            </w:tcBorders>
            <w:noWrap w:val="0"/>
            <w:vAlign w:val="center"/>
          </w:tcPr>
          <w:p w14:paraId="4293DCA8">
            <w:pPr>
              <w:widowControl/>
              <w:jc w:val="center"/>
              <w:rPr>
                <w:rFonts w:ascii="宋体" w:hAnsi="宋体" w:cs="宋体"/>
                <w:color w:val="auto"/>
                <w:kern w:val="0"/>
                <w:szCs w:val="21"/>
                <w:highlight w:val="none"/>
              </w:rPr>
            </w:pPr>
            <w:r>
              <w:rPr>
                <w:rFonts w:hint="eastAsia" w:ascii="宋体" w:hAnsi="宋体" w:cs="宋体"/>
                <w:strike w:val="0"/>
                <w:dstrike w:val="0"/>
                <w:color w:val="auto"/>
                <w:kern w:val="0"/>
                <w:szCs w:val="21"/>
                <w:highlight w:val="none"/>
                <w:u w:val="none"/>
                <w:shd w:val="clear" w:fill="auto"/>
              </w:rPr>
              <w:t>　</w:t>
            </w:r>
          </w:p>
        </w:tc>
      </w:tr>
      <w:tr w14:paraId="24748339">
        <w:tblPrEx>
          <w:tblCellMar>
            <w:top w:w="0" w:type="dxa"/>
            <w:left w:w="108" w:type="dxa"/>
            <w:bottom w:w="0" w:type="dxa"/>
            <w:right w:w="108" w:type="dxa"/>
          </w:tblCellMar>
        </w:tblPrEx>
        <w:trPr>
          <w:trHeight w:val="285" w:hRule="atLeast"/>
          <w:jc w:val="center"/>
        </w:trPr>
        <w:tc>
          <w:tcPr>
            <w:tcW w:w="569" w:type="dxa"/>
            <w:tcBorders>
              <w:top w:val="nil"/>
              <w:left w:val="single" w:color="auto" w:sz="4" w:space="0"/>
              <w:bottom w:val="single" w:color="auto" w:sz="4" w:space="0"/>
              <w:right w:val="single" w:color="auto" w:sz="4" w:space="0"/>
            </w:tcBorders>
            <w:noWrap w:val="0"/>
            <w:vAlign w:val="center"/>
          </w:tcPr>
          <w:p w14:paraId="3ABB52D2">
            <w:pPr>
              <w:widowControl/>
              <w:jc w:val="center"/>
              <w:rPr>
                <w:rFonts w:ascii="宋体" w:hAnsi="宋体" w:cs="宋体"/>
                <w:color w:val="auto"/>
                <w:kern w:val="0"/>
                <w:szCs w:val="21"/>
                <w:highlight w:val="none"/>
              </w:rPr>
            </w:pPr>
            <w:r>
              <w:rPr>
                <w:rFonts w:ascii="宋体" w:hAnsi="宋体" w:cs="宋体"/>
                <w:color w:val="auto"/>
                <w:kern w:val="0"/>
                <w:szCs w:val="21"/>
                <w:highlight w:val="none"/>
              </w:rPr>
              <w:t>3</w:t>
            </w:r>
          </w:p>
        </w:tc>
        <w:tc>
          <w:tcPr>
            <w:tcW w:w="2644" w:type="dxa"/>
            <w:tcBorders>
              <w:top w:val="nil"/>
              <w:left w:val="nil"/>
              <w:bottom w:val="single" w:color="auto" w:sz="4" w:space="0"/>
              <w:right w:val="single" w:color="auto" w:sz="4" w:space="0"/>
            </w:tcBorders>
            <w:noWrap w:val="0"/>
            <w:vAlign w:val="center"/>
          </w:tcPr>
          <w:p w14:paraId="1793DDE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投资</w:t>
            </w:r>
            <w:r>
              <w:rPr>
                <w:rFonts w:ascii="宋体" w:hAnsi="宋体" w:cs="宋体"/>
                <w:color w:val="auto"/>
                <w:kern w:val="0"/>
                <w:szCs w:val="21"/>
                <w:highlight w:val="none"/>
              </w:rPr>
              <w:t>2500-5000万元</w:t>
            </w:r>
          </w:p>
        </w:tc>
        <w:tc>
          <w:tcPr>
            <w:tcW w:w="748" w:type="dxa"/>
            <w:tcBorders>
              <w:top w:val="nil"/>
              <w:left w:val="nil"/>
              <w:bottom w:val="single" w:color="auto" w:sz="4" w:space="0"/>
              <w:right w:val="single" w:color="auto" w:sz="4" w:space="0"/>
            </w:tcBorders>
            <w:noWrap w:val="0"/>
            <w:vAlign w:val="center"/>
          </w:tcPr>
          <w:p w14:paraId="4178EB74">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11</w:t>
            </w:r>
          </w:p>
        </w:tc>
        <w:tc>
          <w:tcPr>
            <w:tcW w:w="802" w:type="dxa"/>
            <w:tcBorders>
              <w:top w:val="nil"/>
              <w:left w:val="nil"/>
              <w:bottom w:val="single" w:color="auto" w:sz="4" w:space="0"/>
              <w:right w:val="single" w:color="auto" w:sz="4" w:space="0"/>
            </w:tcBorders>
            <w:noWrap w:val="0"/>
            <w:vAlign w:val="center"/>
          </w:tcPr>
          <w:p w14:paraId="603A6B05">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12</w:t>
            </w:r>
          </w:p>
        </w:tc>
        <w:tc>
          <w:tcPr>
            <w:tcW w:w="873" w:type="dxa"/>
            <w:tcBorders>
              <w:top w:val="nil"/>
              <w:left w:val="nil"/>
              <w:bottom w:val="single" w:color="auto" w:sz="4" w:space="0"/>
              <w:right w:val="single" w:color="auto" w:sz="4" w:space="0"/>
            </w:tcBorders>
            <w:noWrap w:val="0"/>
            <w:vAlign w:val="center"/>
          </w:tcPr>
          <w:p w14:paraId="0A7D8851">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12</w:t>
            </w:r>
          </w:p>
        </w:tc>
        <w:tc>
          <w:tcPr>
            <w:tcW w:w="802" w:type="dxa"/>
            <w:tcBorders>
              <w:top w:val="nil"/>
              <w:left w:val="nil"/>
              <w:bottom w:val="single" w:color="auto" w:sz="4" w:space="0"/>
              <w:right w:val="single" w:color="auto" w:sz="4" w:space="0"/>
            </w:tcBorders>
            <w:noWrap w:val="0"/>
            <w:vAlign w:val="center"/>
          </w:tcPr>
          <w:p w14:paraId="597048B9">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12</w:t>
            </w:r>
          </w:p>
        </w:tc>
        <w:tc>
          <w:tcPr>
            <w:tcW w:w="784" w:type="dxa"/>
            <w:tcBorders>
              <w:top w:val="nil"/>
              <w:left w:val="nil"/>
              <w:bottom w:val="single" w:color="auto" w:sz="4" w:space="0"/>
              <w:right w:val="single" w:color="auto" w:sz="4" w:space="0"/>
            </w:tcBorders>
            <w:noWrap w:val="0"/>
            <w:vAlign w:val="center"/>
          </w:tcPr>
          <w:p w14:paraId="5107F976">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13</w:t>
            </w:r>
          </w:p>
        </w:tc>
        <w:tc>
          <w:tcPr>
            <w:tcW w:w="825" w:type="dxa"/>
            <w:tcBorders>
              <w:top w:val="nil"/>
              <w:left w:val="nil"/>
              <w:bottom w:val="single" w:color="auto" w:sz="4" w:space="0"/>
              <w:right w:val="single" w:color="auto" w:sz="4" w:space="0"/>
            </w:tcBorders>
            <w:noWrap w:val="0"/>
            <w:vAlign w:val="center"/>
          </w:tcPr>
          <w:p w14:paraId="2F507240">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15</w:t>
            </w:r>
          </w:p>
        </w:tc>
        <w:tc>
          <w:tcPr>
            <w:tcW w:w="1014" w:type="dxa"/>
            <w:tcBorders>
              <w:top w:val="nil"/>
              <w:left w:val="nil"/>
              <w:bottom w:val="single" w:color="auto" w:sz="4" w:space="0"/>
              <w:right w:val="single" w:color="auto" w:sz="4" w:space="0"/>
            </w:tcBorders>
            <w:noWrap w:val="0"/>
            <w:vAlign w:val="center"/>
          </w:tcPr>
          <w:p w14:paraId="1E8FE50A">
            <w:pPr>
              <w:widowControl/>
              <w:jc w:val="center"/>
              <w:rPr>
                <w:rFonts w:ascii="宋体" w:hAnsi="宋体" w:cs="宋体"/>
                <w:color w:val="auto"/>
                <w:kern w:val="0"/>
                <w:szCs w:val="21"/>
                <w:highlight w:val="none"/>
              </w:rPr>
            </w:pPr>
            <w:r>
              <w:rPr>
                <w:rFonts w:hint="eastAsia" w:ascii="宋体" w:hAnsi="宋体" w:cs="宋体"/>
                <w:strike w:val="0"/>
                <w:dstrike w:val="0"/>
                <w:color w:val="auto"/>
                <w:kern w:val="0"/>
                <w:szCs w:val="21"/>
                <w:highlight w:val="none"/>
                <w:u w:val="none"/>
                <w:shd w:val="clear" w:fill="auto"/>
              </w:rPr>
              <w:t>　</w:t>
            </w:r>
          </w:p>
        </w:tc>
      </w:tr>
      <w:tr w14:paraId="6BF392A4">
        <w:tblPrEx>
          <w:tblCellMar>
            <w:top w:w="0" w:type="dxa"/>
            <w:left w:w="108" w:type="dxa"/>
            <w:bottom w:w="0" w:type="dxa"/>
            <w:right w:w="108" w:type="dxa"/>
          </w:tblCellMar>
        </w:tblPrEx>
        <w:trPr>
          <w:trHeight w:val="285" w:hRule="atLeast"/>
          <w:jc w:val="center"/>
        </w:trPr>
        <w:tc>
          <w:tcPr>
            <w:tcW w:w="569" w:type="dxa"/>
            <w:tcBorders>
              <w:top w:val="nil"/>
              <w:left w:val="single" w:color="auto" w:sz="4" w:space="0"/>
              <w:bottom w:val="single" w:color="auto" w:sz="4" w:space="0"/>
              <w:right w:val="single" w:color="auto" w:sz="4" w:space="0"/>
            </w:tcBorders>
            <w:noWrap w:val="0"/>
            <w:vAlign w:val="center"/>
          </w:tcPr>
          <w:p w14:paraId="0FF950E3">
            <w:pPr>
              <w:widowControl/>
              <w:jc w:val="center"/>
              <w:rPr>
                <w:rFonts w:ascii="宋体" w:hAnsi="宋体" w:cs="宋体"/>
                <w:color w:val="auto"/>
                <w:kern w:val="0"/>
                <w:szCs w:val="21"/>
                <w:highlight w:val="none"/>
              </w:rPr>
            </w:pPr>
            <w:r>
              <w:rPr>
                <w:rFonts w:ascii="宋体" w:hAnsi="宋体" w:cs="宋体"/>
                <w:color w:val="auto"/>
                <w:kern w:val="0"/>
                <w:szCs w:val="21"/>
                <w:highlight w:val="none"/>
              </w:rPr>
              <w:t>4</w:t>
            </w:r>
          </w:p>
        </w:tc>
        <w:tc>
          <w:tcPr>
            <w:tcW w:w="2644" w:type="dxa"/>
            <w:tcBorders>
              <w:top w:val="nil"/>
              <w:left w:val="nil"/>
              <w:bottom w:val="single" w:color="auto" w:sz="4" w:space="0"/>
              <w:right w:val="single" w:color="auto" w:sz="4" w:space="0"/>
            </w:tcBorders>
            <w:noWrap w:val="0"/>
            <w:vAlign w:val="center"/>
          </w:tcPr>
          <w:p w14:paraId="0B96548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投资</w:t>
            </w:r>
            <w:r>
              <w:rPr>
                <w:rFonts w:ascii="宋体" w:hAnsi="宋体" w:cs="宋体"/>
                <w:color w:val="auto"/>
                <w:kern w:val="0"/>
                <w:szCs w:val="21"/>
                <w:highlight w:val="none"/>
              </w:rPr>
              <w:t>5000-7500万元</w:t>
            </w:r>
          </w:p>
        </w:tc>
        <w:tc>
          <w:tcPr>
            <w:tcW w:w="748" w:type="dxa"/>
            <w:tcBorders>
              <w:top w:val="nil"/>
              <w:left w:val="nil"/>
              <w:bottom w:val="single" w:color="auto" w:sz="4" w:space="0"/>
              <w:right w:val="single" w:color="auto" w:sz="4" w:space="0"/>
            </w:tcBorders>
            <w:noWrap w:val="0"/>
            <w:vAlign w:val="center"/>
          </w:tcPr>
          <w:p w14:paraId="51352AD9">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11</w:t>
            </w:r>
          </w:p>
        </w:tc>
        <w:tc>
          <w:tcPr>
            <w:tcW w:w="802" w:type="dxa"/>
            <w:tcBorders>
              <w:top w:val="nil"/>
              <w:left w:val="nil"/>
              <w:bottom w:val="single" w:color="auto" w:sz="4" w:space="0"/>
              <w:right w:val="single" w:color="auto" w:sz="4" w:space="0"/>
            </w:tcBorders>
            <w:noWrap w:val="0"/>
            <w:vAlign w:val="center"/>
          </w:tcPr>
          <w:p w14:paraId="52C9A099">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13</w:t>
            </w:r>
          </w:p>
        </w:tc>
        <w:tc>
          <w:tcPr>
            <w:tcW w:w="873" w:type="dxa"/>
            <w:tcBorders>
              <w:top w:val="nil"/>
              <w:left w:val="nil"/>
              <w:bottom w:val="single" w:color="auto" w:sz="4" w:space="0"/>
              <w:right w:val="single" w:color="auto" w:sz="4" w:space="0"/>
            </w:tcBorders>
            <w:noWrap w:val="0"/>
            <w:vAlign w:val="center"/>
          </w:tcPr>
          <w:p w14:paraId="315B2755">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12</w:t>
            </w:r>
          </w:p>
        </w:tc>
        <w:tc>
          <w:tcPr>
            <w:tcW w:w="802" w:type="dxa"/>
            <w:tcBorders>
              <w:top w:val="nil"/>
              <w:left w:val="nil"/>
              <w:bottom w:val="single" w:color="auto" w:sz="4" w:space="0"/>
              <w:right w:val="single" w:color="auto" w:sz="4" w:space="0"/>
            </w:tcBorders>
            <w:noWrap w:val="0"/>
            <w:vAlign w:val="center"/>
          </w:tcPr>
          <w:p w14:paraId="5F4851DF">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15</w:t>
            </w:r>
          </w:p>
        </w:tc>
        <w:tc>
          <w:tcPr>
            <w:tcW w:w="784" w:type="dxa"/>
            <w:tcBorders>
              <w:top w:val="nil"/>
              <w:left w:val="nil"/>
              <w:bottom w:val="single" w:color="auto" w:sz="4" w:space="0"/>
              <w:right w:val="single" w:color="auto" w:sz="4" w:space="0"/>
            </w:tcBorders>
            <w:noWrap w:val="0"/>
            <w:vAlign w:val="center"/>
          </w:tcPr>
          <w:p w14:paraId="34654A90">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13</w:t>
            </w:r>
          </w:p>
        </w:tc>
        <w:tc>
          <w:tcPr>
            <w:tcW w:w="825" w:type="dxa"/>
            <w:tcBorders>
              <w:top w:val="nil"/>
              <w:left w:val="nil"/>
              <w:bottom w:val="single" w:color="auto" w:sz="4" w:space="0"/>
              <w:right w:val="single" w:color="auto" w:sz="4" w:space="0"/>
            </w:tcBorders>
            <w:noWrap w:val="0"/>
            <w:vAlign w:val="center"/>
          </w:tcPr>
          <w:p w14:paraId="0D383164">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18</w:t>
            </w:r>
          </w:p>
        </w:tc>
        <w:tc>
          <w:tcPr>
            <w:tcW w:w="1014" w:type="dxa"/>
            <w:tcBorders>
              <w:top w:val="nil"/>
              <w:left w:val="nil"/>
              <w:bottom w:val="single" w:color="auto" w:sz="4" w:space="0"/>
              <w:right w:val="single" w:color="auto" w:sz="4" w:space="0"/>
            </w:tcBorders>
            <w:noWrap w:val="0"/>
            <w:vAlign w:val="center"/>
          </w:tcPr>
          <w:p w14:paraId="6D1925E6">
            <w:pPr>
              <w:widowControl/>
              <w:jc w:val="center"/>
              <w:rPr>
                <w:rFonts w:ascii="宋体" w:hAnsi="宋体" w:cs="宋体"/>
                <w:color w:val="auto"/>
                <w:kern w:val="0"/>
                <w:szCs w:val="21"/>
                <w:highlight w:val="none"/>
              </w:rPr>
            </w:pPr>
            <w:r>
              <w:rPr>
                <w:rFonts w:hint="eastAsia" w:ascii="宋体" w:hAnsi="宋体" w:cs="宋体"/>
                <w:strike w:val="0"/>
                <w:dstrike w:val="0"/>
                <w:color w:val="auto"/>
                <w:kern w:val="0"/>
                <w:szCs w:val="21"/>
                <w:highlight w:val="none"/>
                <w:u w:val="none"/>
                <w:shd w:val="clear" w:fill="auto"/>
              </w:rPr>
              <w:t>　</w:t>
            </w:r>
          </w:p>
        </w:tc>
      </w:tr>
      <w:tr w14:paraId="1BCC1411">
        <w:tblPrEx>
          <w:tblCellMar>
            <w:top w:w="0" w:type="dxa"/>
            <w:left w:w="108" w:type="dxa"/>
            <w:bottom w:w="0" w:type="dxa"/>
            <w:right w:w="108" w:type="dxa"/>
          </w:tblCellMar>
        </w:tblPrEx>
        <w:trPr>
          <w:trHeight w:val="285" w:hRule="atLeast"/>
          <w:jc w:val="center"/>
        </w:trPr>
        <w:tc>
          <w:tcPr>
            <w:tcW w:w="569" w:type="dxa"/>
            <w:tcBorders>
              <w:top w:val="nil"/>
              <w:left w:val="single" w:color="auto" w:sz="4" w:space="0"/>
              <w:bottom w:val="single" w:color="auto" w:sz="4" w:space="0"/>
              <w:right w:val="single" w:color="auto" w:sz="4" w:space="0"/>
            </w:tcBorders>
            <w:noWrap w:val="0"/>
            <w:vAlign w:val="center"/>
          </w:tcPr>
          <w:p w14:paraId="54180315">
            <w:pPr>
              <w:widowControl/>
              <w:jc w:val="center"/>
              <w:rPr>
                <w:rFonts w:ascii="宋体" w:hAnsi="宋体" w:cs="宋体"/>
                <w:color w:val="auto"/>
                <w:kern w:val="0"/>
                <w:szCs w:val="21"/>
                <w:highlight w:val="none"/>
              </w:rPr>
            </w:pPr>
            <w:r>
              <w:rPr>
                <w:rFonts w:ascii="宋体" w:hAnsi="宋体" w:cs="宋体"/>
                <w:color w:val="auto"/>
                <w:kern w:val="0"/>
                <w:szCs w:val="21"/>
                <w:highlight w:val="none"/>
              </w:rPr>
              <w:t>5</w:t>
            </w:r>
          </w:p>
        </w:tc>
        <w:tc>
          <w:tcPr>
            <w:tcW w:w="2644" w:type="dxa"/>
            <w:tcBorders>
              <w:top w:val="nil"/>
              <w:left w:val="nil"/>
              <w:bottom w:val="single" w:color="auto" w:sz="4" w:space="0"/>
              <w:right w:val="single" w:color="auto" w:sz="4" w:space="0"/>
            </w:tcBorders>
            <w:noWrap w:val="0"/>
            <w:vAlign w:val="center"/>
          </w:tcPr>
          <w:p w14:paraId="2954DCB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投资</w:t>
            </w:r>
            <w:r>
              <w:rPr>
                <w:rFonts w:ascii="宋体" w:hAnsi="宋体" w:cs="宋体"/>
                <w:color w:val="auto"/>
                <w:kern w:val="0"/>
                <w:szCs w:val="21"/>
                <w:highlight w:val="none"/>
              </w:rPr>
              <w:t>7500-10000万元</w:t>
            </w:r>
          </w:p>
        </w:tc>
        <w:tc>
          <w:tcPr>
            <w:tcW w:w="748" w:type="dxa"/>
            <w:tcBorders>
              <w:top w:val="nil"/>
              <w:left w:val="nil"/>
              <w:bottom w:val="single" w:color="auto" w:sz="4" w:space="0"/>
              <w:right w:val="single" w:color="auto" w:sz="4" w:space="0"/>
            </w:tcBorders>
            <w:noWrap w:val="0"/>
            <w:vAlign w:val="center"/>
          </w:tcPr>
          <w:p w14:paraId="5E42B087">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11</w:t>
            </w:r>
          </w:p>
        </w:tc>
        <w:tc>
          <w:tcPr>
            <w:tcW w:w="802" w:type="dxa"/>
            <w:tcBorders>
              <w:top w:val="nil"/>
              <w:left w:val="nil"/>
              <w:bottom w:val="single" w:color="auto" w:sz="4" w:space="0"/>
              <w:right w:val="single" w:color="auto" w:sz="4" w:space="0"/>
            </w:tcBorders>
            <w:noWrap w:val="0"/>
            <w:vAlign w:val="center"/>
          </w:tcPr>
          <w:p w14:paraId="0D626136">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15</w:t>
            </w:r>
          </w:p>
        </w:tc>
        <w:tc>
          <w:tcPr>
            <w:tcW w:w="873" w:type="dxa"/>
            <w:tcBorders>
              <w:top w:val="nil"/>
              <w:left w:val="nil"/>
              <w:bottom w:val="single" w:color="auto" w:sz="4" w:space="0"/>
              <w:right w:val="single" w:color="auto" w:sz="4" w:space="0"/>
            </w:tcBorders>
            <w:noWrap w:val="0"/>
            <w:vAlign w:val="center"/>
          </w:tcPr>
          <w:p w14:paraId="3AEAE45C">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12</w:t>
            </w:r>
          </w:p>
        </w:tc>
        <w:tc>
          <w:tcPr>
            <w:tcW w:w="802" w:type="dxa"/>
            <w:tcBorders>
              <w:top w:val="nil"/>
              <w:left w:val="nil"/>
              <w:bottom w:val="single" w:color="auto" w:sz="4" w:space="0"/>
              <w:right w:val="single" w:color="auto" w:sz="4" w:space="0"/>
            </w:tcBorders>
            <w:noWrap w:val="0"/>
            <w:vAlign w:val="center"/>
          </w:tcPr>
          <w:p w14:paraId="08DCD1BB">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18</w:t>
            </w:r>
          </w:p>
        </w:tc>
        <w:tc>
          <w:tcPr>
            <w:tcW w:w="784" w:type="dxa"/>
            <w:tcBorders>
              <w:top w:val="nil"/>
              <w:left w:val="nil"/>
              <w:bottom w:val="single" w:color="auto" w:sz="4" w:space="0"/>
              <w:right w:val="single" w:color="auto" w:sz="4" w:space="0"/>
            </w:tcBorders>
            <w:noWrap w:val="0"/>
            <w:vAlign w:val="center"/>
          </w:tcPr>
          <w:p w14:paraId="7B447A0E">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13</w:t>
            </w:r>
          </w:p>
        </w:tc>
        <w:tc>
          <w:tcPr>
            <w:tcW w:w="825" w:type="dxa"/>
            <w:tcBorders>
              <w:top w:val="nil"/>
              <w:left w:val="nil"/>
              <w:bottom w:val="single" w:color="auto" w:sz="4" w:space="0"/>
              <w:right w:val="single" w:color="auto" w:sz="4" w:space="0"/>
            </w:tcBorders>
            <w:noWrap w:val="0"/>
            <w:vAlign w:val="center"/>
          </w:tcPr>
          <w:p w14:paraId="70C28B73">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20</w:t>
            </w:r>
          </w:p>
        </w:tc>
        <w:tc>
          <w:tcPr>
            <w:tcW w:w="1014" w:type="dxa"/>
            <w:tcBorders>
              <w:top w:val="nil"/>
              <w:left w:val="nil"/>
              <w:bottom w:val="single" w:color="auto" w:sz="4" w:space="0"/>
              <w:right w:val="single" w:color="auto" w:sz="4" w:space="0"/>
            </w:tcBorders>
            <w:noWrap w:val="0"/>
            <w:vAlign w:val="center"/>
          </w:tcPr>
          <w:p w14:paraId="10684334">
            <w:pPr>
              <w:widowControl/>
              <w:jc w:val="center"/>
              <w:rPr>
                <w:rFonts w:ascii="宋体" w:hAnsi="宋体" w:cs="宋体"/>
                <w:color w:val="auto"/>
                <w:kern w:val="0"/>
                <w:szCs w:val="21"/>
                <w:highlight w:val="none"/>
              </w:rPr>
            </w:pPr>
            <w:r>
              <w:rPr>
                <w:rFonts w:hint="eastAsia" w:ascii="宋体" w:hAnsi="宋体" w:cs="宋体"/>
                <w:strike w:val="0"/>
                <w:dstrike w:val="0"/>
                <w:color w:val="auto"/>
                <w:kern w:val="0"/>
                <w:szCs w:val="21"/>
                <w:highlight w:val="none"/>
                <w:u w:val="none"/>
                <w:shd w:val="clear" w:fill="auto"/>
              </w:rPr>
              <w:t>　</w:t>
            </w:r>
          </w:p>
        </w:tc>
      </w:tr>
      <w:tr w14:paraId="18446B58">
        <w:tblPrEx>
          <w:tblCellMar>
            <w:top w:w="0" w:type="dxa"/>
            <w:left w:w="108" w:type="dxa"/>
            <w:bottom w:w="0" w:type="dxa"/>
            <w:right w:w="108" w:type="dxa"/>
          </w:tblCellMar>
        </w:tblPrEx>
        <w:trPr>
          <w:trHeight w:val="285" w:hRule="atLeast"/>
          <w:jc w:val="center"/>
        </w:trPr>
        <w:tc>
          <w:tcPr>
            <w:tcW w:w="569" w:type="dxa"/>
            <w:tcBorders>
              <w:top w:val="nil"/>
              <w:left w:val="single" w:color="auto" w:sz="4" w:space="0"/>
              <w:bottom w:val="single" w:color="auto" w:sz="4" w:space="0"/>
              <w:right w:val="single" w:color="auto" w:sz="4" w:space="0"/>
            </w:tcBorders>
            <w:noWrap w:val="0"/>
            <w:vAlign w:val="center"/>
          </w:tcPr>
          <w:p w14:paraId="2C4315F0">
            <w:pPr>
              <w:widowControl/>
              <w:jc w:val="center"/>
              <w:rPr>
                <w:rFonts w:ascii="宋体" w:hAnsi="宋体" w:cs="宋体"/>
                <w:color w:val="auto"/>
                <w:kern w:val="0"/>
                <w:szCs w:val="21"/>
                <w:highlight w:val="none"/>
              </w:rPr>
            </w:pPr>
            <w:r>
              <w:rPr>
                <w:rFonts w:ascii="宋体" w:hAnsi="宋体" w:cs="宋体"/>
                <w:color w:val="auto"/>
                <w:kern w:val="0"/>
                <w:szCs w:val="21"/>
                <w:highlight w:val="none"/>
              </w:rPr>
              <w:t>6</w:t>
            </w:r>
          </w:p>
        </w:tc>
        <w:tc>
          <w:tcPr>
            <w:tcW w:w="2644" w:type="dxa"/>
            <w:tcBorders>
              <w:top w:val="nil"/>
              <w:left w:val="nil"/>
              <w:bottom w:val="single" w:color="auto" w:sz="4" w:space="0"/>
              <w:right w:val="single" w:color="auto" w:sz="4" w:space="0"/>
            </w:tcBorders>
            <w:noWrap w:val="0"/>
            <w:vAlign w:val="center"/>
          </w:tcPr>
          <w:p w14:paraId="266392C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投资</w:t>
            </w:r>
            <w:r>
              <w:rPr>
                <w:rFonts w:ascii="宋体" w:hAnsi="宋体" w:cs="宋体"/>
                <w:color w:val="auto"/>
                <w:kern w:val="0"/>
                <w:szCs w:val="21"/>
                <w:highlight w:val="none"/>
              </w:rPr>
              <w:t>10000万元以上</w:t>
            </w:r>
          </w:p>
        </w:tc>
        <w:tc>
          <w:tcPr>
            <w:tcW w:w="748" w:type="dxa"/>
            <w:tcBorders>
              <w:top w:val="nil"/>
              <w:left w:val="nil"/>
              <w:bottom w:val="single" w:color="auto" w:sz="4" w:space="0"/>
              <w:right w:val="single" w:color="auto" w:sz="4" w:space="0"/>
            </w:tcBorders>
            <w:noWrap w:val="0"/>
            <w:vAlign w:val="center"/>
          </w:tcPr>
          <w:p w14:paraId="7D6AA535">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11</w:t>
            </w:r>
          </w:p>
        </w:tc>
        <w:tc>
          <w:tcPr>
            <w:tcW w:w="802" w:type="dxa"/>
            <w:tcBorders>
              <w:top w:val="nil"/>
              <w:left w:val="nil"/>
              <w:bottom w:val="single" w:color="auto" w:sz="4" w:space="0"/>
              <w:right w:val="single" w:color="auto" w:sz="4" w:space="0"/>
            </w:tcBorders>
            <w:noWrap w:val="0"/>
            <w:vAlign w:val="center"/>
          </w:tcPr>
          <w:p w14:paraId="617AF80D">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18</w:t>
            </w:r>
          </w:p>
        </w:tc>
        <w:tc>
          <w:tcPr>
            <w:tcW w:w="873" w:type="dxa"/>
            <w:tcBorders>
              <w:top w:val="nil"/>
              <w:left w:val="nil"/>
              <w:bottom w:val="single" w:color="auto" w:sz="4" w:space="0"/>
              <w:right w:val="single" w:color="auto" w:sz="4" w:space="0"/>
            </w:tcBorders>
            <w:noWrap w:val="0"/>
            <w:vAlign w:val="center"/>
          </w:tcPr>
          <w:p w14:paraId="7D9EA538">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12</w:t>
            </w:r>
          </w:p>
        </w:tc>
        <w:tc>
          <w:tcPr>
            <w:tcW w:w="802" w:type="dxa"/>
            <w:tcBorders>
              <w:top w:val="nil"/>
              <w:left w:val="nil"/>
              <w:bottom w:val="single" w:color="auto" w:sz="4" w:space="0"/>
              <w:right w:val="single" w:color="auto" w:sz="4" w:space="0"/>
            </w:tcBorders>
            <w:noWrap w:val="0"/>
            <w:vAlign w:val="center"/>
          </w:tcPr>
          <w:p w14:paraId="0D305779">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20</w:t>
            </w:r>
          </w:p>
        </w:tc>
        <w:tc>
          <w:tcPr>
            <w:tcW w:w="784" w:type="dxa"/>
            <w:tcBorders>
              <w:top w:val="nil"/>
              <w:left w:val="nil"/>
              <w:bottom w:val="single" w:color="auto" w:sz="4" w:space="0"/>
              <w:right w:val="single" w:color="auto" w:sz="4" w:space="0"/>
            </w:tcBorders>
            <w:noWrap w:val="0"/>
            <w:vAlign w:val="center"/>
          </w:tcPr>
          <w:p w14:paraId="403E5347">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13</w:t>
            </w:r>
          </w:p>
        </w:tc>
        <w:tc>
          <w:tcPr>
            <w:tcW w:w="825" w:type="dxa"/>
            <w:tcBorders>
              <w:top w:val="nil"/>
              <w:left w:val="nil"/>
              <w:bottom w:val="single" w:color="auto" w:sz="4" w:space="0"/>
              <w:right w:val="single" w:color="auto" w:sz="4" w:space="0"/>
            </w:tcBorders>
            <w:noWrap w:val="0"/>
            <w:vAlign w:val="center"/>
          </w:tcPr>
          <w:p w14:paraId="0240080D">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22</w:t>
            </w:r>
          </w:p>
        </w:tc>
        <w:tc>
          <w:tcPr>
            <w:tcW w:w="1014" w:type="dxa"/>
            <w:tcBorders>
              <w:top w:val="nil"/>
              <w:left w:val="nil"/>
              <w:bottom w:val="single" w:color="auto" w:sz="4" w:space="0"/>
              <w:right w:val="single" w:color="auto" w:sz="4" w:space="0"/>
            </w:tcBorders>
            <w:noWrap w:val="0"/>
            <w:vAlign w:val="center"/>
          </w:tcPr>
          <w:p w14:paraId="3BFF501A">
            <w:pPr>
              <w:widowControl/>
              <w:jc w:val="center"/>
              <w:rPr>
                <w:rFonts w:ascii="宋体" w:hAnsi="宋体" w:cs="宋体"/>
                <w:color w:val="auto"/>
                <w:kern w:val="0"/>
                <w:szCs w:val="21"/>
                <w:highlight w:val="none"/>
              </w:rPr>
            </w:pPr>
            <w:r>
              <w:rPr>
                <w:rFonts w:hint="eastAsia" w:ascii="宋体" w:hAnsi="宋体" w:cs="宋体"/>
                <w:strike w:val="0"/>
                <w:dstrike w:val="0"/>
                <w:color w:val="auto"/>
                <w:kern w:val="0"/>
                <w:szCs w:val="21"/>
                <w:highlight w:val="none"/>
                <w:u w:val="none"/>
                <w:shd w:val="clear" w:fill="auto"/>
              </w:rPr>
              <w:t>　</w:t>
            </w:r>
          </w:p>
        </w:tc>
      </w:tr>
      <w:tr w14:paraId="2D227C0D">
        <w:tblPrEx>
          <w:tblCellMar>
            <w:top w:w="0" w:type="dxa"/>
            <w:left w:w="108" w:type="dxa"/>
            <w:bottom w:w="0" w:type="dxa"/>
            <w:right w:w="108" w:type="dxa"/>
          </w:tblCellMar>
        </w:tblPrEx>
        <w:trPr>
          <w:trHeight w:val="285"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14:paraId="2036B38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二</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5639FF8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结算</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9CED64C">
            <w:pPr>
              <w:widowControl/>
              <w:jc w:val="center"/>
              <w:rPr>
                <w:rFonts w:ascii="宋体" w:hAnsi="宋体" w:cs="宋体"/>
                <w:b/>
                <w:bCs/>
                <w:color w:val="auto"/>
                <w:kern w:val="0"/>
                <w:szCs w:val="21"/>
                <w:highlight w:val="none"/>
              </w:rPr>
            </w:pPr>
            <w:r>
              <w:rPr>
                <w:rFonts w:hint="eastAsia" w:ascii="宋体" w:hAnsi="宋体" w:cs="宋体"/>
                <w:b/>
                <w:bCs/>
                <w:strike w:val="0"/>
                <w:dstrike w:val="0"/>
                <w:color w:val="auto"/>
                <w:kern w:val="0"/>
                <w:szCs w:val="21"/>
                <w:highlight w:val="none"/>
                <w:u w:val="none"/>
                <w:shd w:val="clear" w:fill="auto"/>
              </w:rPr>
              <w:t>　</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3C669E66">
            <w:pPr>
              <w:widowControl/>
              <w:jc w:val="center"/>
              <w:rPr>
                <w:rFonts w:ascii="宋体" w:hAnsi="宋体" w:cs="宋体"/>
                <w:b/>
                <w:bCs/>
                <w:color w:val="auto"/>
                <w:kern w:val="0"/>
                <w:szCs w:val="21"/>
                <w:highlight w:val="none"/>
              </w:rPr>
            </w:pPr>
            <w:r>
              <w:rPr>
                <w:rFonts w:hint="eastAsia" w:ascii="宋体" w:hAnsi="宋体" w:cs="宋体"/>
                <w:b/>
                <w:bCs/>
                <w:strike w:val="0"/>
                <w:dstrike w:val="0"/>
                <w:color w:val="auto"/>
                <w:kern w:val="0"/>
                <w:szCs w:val="21"/>
                <w:highlight w:val="none"/>
                <w:u w:val="none"/>
                <w:shd w:val="clear" w:fill="auto"/>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0E9E691">
            <w:pPr>
              <w:widowControl/>
              <w:jc w:val="center"/>
              <w:rPr>
                <w:rFonts w:ascii="宋体" w:hAnsi="宋体" w:cs="宋体"/>
                <w:b/>
                <w:bCs/>
                <w:color w:val="auto"/>
                <w:kern w:val="0"/>
                <w:szCs w:val="21"/>
                <w:highlight w:val="none"/>
              </w:rPr>
            </w:pPr>
            <w:r>
              <w:rPr>
                <w:rFonts w:hint="eastAsia" w:ascii="宋体" w:hAnsi="宋体" w:cs="宋体"/>
                <w:b/>
                <w:bCs/>
                <w:strike w:val="0"/>
                <w:dstrike w:val="0"/>
                <w:color w:val="auto"/>
                <w:kern w:val="0"/>
                <w:szCs w:val="21"/>
                <w:highlight w:val="none"/>
                <w:u w:val="none"/>
                <w:shd w:val="clear" w:fill="auto"/>
              </w:rPr>
              <w:t>　</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743A2D52">
            <w:pPr>
              <w:widowControl/>
              <w:jc w:val="center"/>
              <w:rPr>
                <w:rFonts w:ascii="宋体" w:hAnsi="宋体" w:cs="宋体"/>
                <w:b/>
                <w:bCs/>
                <w:color w:val="auto"/>
                <w:kern w:val="0"/>
                <w:szCs w:val="21"/>
                <w:highlight w:val="none"/>
              </w:rPr>
            </w:pPr>
            <w:r>
              <w:rPr>
                <w:rFonts w:hint="eastAsia" w:ascii="宋体" w:hAnsi="宋体" w:cs="宋体"/>
                <w:b/>
                <w:bCs/>
                <w:strike w:val="0"/>
                <w:dstrike w:val="0"/>
                <w:color w:val="auto"/>
                <w:kern w:val="0"/>
                <w:szCs w:val="21"/>
                <w:highlight w:val="none"/>
                <w:u w:val="none"/>
                <w:shd w:val="clear" w:fill="auto"/>
              </w:rPr>
              <w:t>　</w:t>
            </w:r>
          </w:p>
        </w:tc>
        <w:tc>
          <w:tcPr>
            <w:tcW w:w="784" w:type="dxa"/>
            <w:tcBorders>
              <w:top w:val="single" w:color="auto" w:sz="4" w:space="0"/>
              <w:left w:val="single" w:color="auto" w:sz="4" w:space="0"/>
              <w:bottom w:val="single" w:color="auto" w:sz="4" w:space="0"/>
              <w:right w:val="single" w:color="auto" w:sz="4" w:space="0"/>
            </w:tcBorders>
            <w:noWrap w:val="0"/>
            <w:vAlign w:val="center"/>
          </w:tcPr>
          <w:p w14:paraId="337D72A5">
            <w:pPr>
              <w:widowControl/>
              <w:jc w:val="center"/>
              <w:rPr>
                <w:rFonts w:ascii="宋体" w:hAnsi="宋体" w:cs="宋体"/>
                <w:b/>
                <w:bCs/>
                <w:color w:val="auto"/>
                <w:kern w:val="0"/>
                <w:szCs w:val="21"/>
                <w:highlight w:val="none"/>
              </w:rPr>
            </w:pPr>
            <w:r>
              <w:rPr>
                <w:rFonts w:hint="eastAsia" w:ascii="宋体" w:hAnsi="宋体" w:cs="宋体"/>
                <w:b/>
                <w:bCs/>
                <w:strike w:val="0"/>
                <w:dstrike w:val="0"/>
                <w:color w:val="auto"/>
                <w:kern w:val="0"/>
                <w:szCs w:val="21"/>
                <w:highlight w:val="none"/>
                <w:u w:val="none"/>
                <w:shd w:val="clear" w:fill="auto"/>
              </w:rPr>
              <w:t>　</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1FB5790">
            <w:pPr>
              <w:widowControl/>
              <w:jc w:val="center"/>
              <w:rPr>
                <w:rFonts w:ascii="宋体" w:hAnsi="宋体" w:cs="宋体"/>
                <w:b/>
                <w:bCs/>
                <w:color w:val="auto"/>
                <w:kern w:val="0"/>
                <w:szCs w:val="21"/>
                <w:highlight w:val="none"/>
              </w:rPr>
            </w:pPr>
            <w:r>
              <w:rPr>
                <w:rFonts w:hint="eastAsia" w:ascii="宋体" w:hAnsi="宋体" w:cs="宋体"/>
                <w:b/>
                <w:bCs/>
                <w:strike w:val="0"/>
                <w:dstrike w:val="0"/>
                <w:color w:val="auto"/>
                <w:kern w:val="0"/>
                <w:szCs w:val="21"/>
                <w:highlight w:val="none"/>
                <w:u w:val="none"/>
                <w:shd w:val="clear" w:fill="auto"/>
              </w:rPr>
              <w:t>　</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3080B4D3">
            <w:pPr>
              <w:widowControl/>
              <w:jc w:val="center"/>
              <w:rPr>
                <w:rFonts w:ascii="宋体" w:hAnsi="宋体" w:cs="宋体"/>
                <w:color w:val="auto"/>
                <w:kern w:val="0"/>
                <w:szCs w:val="21"/>
                <w:highlight w:val="none"/>
              </w:rPr>
            </w:pPr>
            <w:r>
              <w:rPr>
                <w:rFonts w:hint="eastAsia" w:ascii="宋体" w:hAnsi="宋体" w:cs="宋体"/>
                <w:strike w:val="0"/>
                <w:dstrike w:val="0"/>
                <w:color w:val="auto"/>
                <w:kern w:val="0"/>
                <w:szCs w:val="21"/>
                <w:highlight w:val="none"/>
                <w:u w:val="none"/>
                <w:shd w:val="clear" w:fill="auto"/>
              </w:rPr>
              <w:t>　</w:t>
            </w:r>
          </w:p>
        </w:tc>
      </w:tr>
      <w:tr w14:paraId="7521C202">
        <w:tblPrEx>
          <w:tblCellMar>
            <w:top w:w="0" w:type="dxa"/>
            <w:left w:w="108" w:type="dxa"/>
            <w:bottom w:w="0" w:type="dxa"/>
            <w:right w:w="108" w:type="dxa"/>
          </w:tblCellMar>
        </w:tblPrEx>
        <w:trPr>
          <w:trHeight w:val="285"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14:paraId="368B284E">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2644" w:type="dxa"/>
            <w:tcBorders>
              <w:top w:val="single" w:color="auto" w:sz="4" w:space="0"/>
              <w:left w:val="nil"/>
              <w:bottom w:val="single" w:color="auto" w:sz="4" w:space="0"/>
              <w:right w:val="single" w:color="auto" w:sz="4" w:space="0"/>
            </w:tcBorders>
            <w:noWrap w:val="0"/>
            <w:vAlign w:val="center"/>
          </w:tcPr>
          <w:p w14:paraId="1EB31CF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投资</w:t>
            </w:r>
            <w:r>
              <w:rPr>
                <w:rFonts w:ascii="宋体" w:hAnsi="宋体" w:cs="宋体"/>
                <w:color w:val="auto"/>
                <w:kern w:val="0"/>
                <w:szCs w:val="21"/>
                <w:highlight w:val="none"/>
              </w:rPr>
              <w:t>500万元以内</w:t>
            </w:r>
          </w:p>
        </w:tc>
        <w:tc>
          <w:tcPr>
            <w:tcW w:w="748" w:type="dxa"/>
            <w:tcBorders>
              <w:top w:val="single" w:color="auto" w:sz="4" w:space="0"/>
              <w:left w:val="nil"/>
              <w:bottom w:val="single" w:color="auto" w:sz="4" w:space="0"/>
              <w:right w:val="single" w:color="auto" w:sz="4" w:space="0"/>
            </w:tcBorders>
            <w:noWrap w:val="0"/>
            <w:vAlign w:val="center"/>
          </w:tcPr>
          <w:p w14:paraId="3B90E8EB">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12</w:t>
            </w:r>
          </w:p>
        </w:tc>
        <w:tc>
          <w:tcPr>
            <w:tcW w:w="802" w:type="dxa"/>
            <w:tcBorders>
              <w:top w:val="single" w:color="auto" w:sz="4" w:space="0"/>
              <w:left w:val="nil"/>
              <w:bottom w:val="single" w:color="auto" w:sz="4" w:space="0"/>
              <w:right w:val="single" w:color="auto" w:sz="4" w:space="0"/>
            </w:tcBorders>
            <w:noWrap w:val="0"/>
            <w:vAlign w:val="center"/>
          </w:tcPr>
          <w:p w14:paraId="15816B4E">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15</w:t>
            </w:r>
          </w:p>
        </w:tc>
        <w:tc>
          <w:tcPr>
            <w:tcW w:w="873" w:type="dxa"/>
            <w:tcBorders>
              <w:top w:val="single" w:color="auto" w:sz="4" w:space="0"/>
              <w:left w:val="nil"/>
              <w:bottom w:val="single" w:color="auto" w:sz="4" w:space="0"/>
              <w:right w:val="single" w:color="auto" w:sz="4" w:space="0"/>
            </w:tcBorders>
            <w:noWrap w:val="0"/>
            <w:vAlign w:val="center"/>
          </w:tcPr>
          <w:p w14:paraId="2E7A9BF6">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13</w:t>
            </w:r>
          </w:p>
        </w:tc>
        <w:tc>
          <w:tcPr>
            <w:tcW w:w="802" w:type="dxa"/>
            <w:tcBorders>
              <w:top w:val="single" w:color="auto" w:sz="4" w:space="0"/>
              <w:left w:val="nil"/>
              <w:bottom w:val="single" w:color="auto" w:sz="4" w:space="0"/>
              <w:right w:val="single" w:color="auto" w:sz="4" w:space="0"/>
            </w:tcBorders>
            <w:noWrap w:val="0"/>
            <w:vAlign w:val="center"/>
          </w:tcPr>
          <w:p w14:paraId="2462D405">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16</w:t>
            </w:r>
          </w:p>
        </w:tc>
        <w:tc>
          <w:tcPr>
            <w:tcW w:w="784" w:type="dxa"/>
            <w:tcBorders>
              <w:top w:val="single" w:color="auto" w:sz="4" w:space="0"/>
              <w:left w:val="nil"/>
              <w:bottom w:val="single" w:color="auto" w:sz="4" w:space="0"/>
              <w:right w:val="single" w:color="auto" w:sz="4" w:space="0"/>
            </w:tcBorders>
            <w:noWrap w:val="0"/>
            <w:vAlign w:val="center"/>
          </w:tcPr>
          <w:p w14:paraId="33B4E690">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15</w:t>
            </w:r>
          </w:p>
        </w:tc>
        <w:tc>
          <w:tcPr>
            <w:tcW w:w="825" w:type="dxa"/>
            <w:tcBorders>
              <w:top w:val="single" w:color="auto" w:sz="4" w:space="0"/>
              <w:left w:val="nil"/>
              <w:bottom w:val="single" w:color="auto" w:sz="4" w:space="0"/>
              <w:right w:val="single" w:color="auto" w:sz="4" w:space="0"/>
            </w:tcBorders>
            <w:noWrap w:val="0"/>
            <w:vAlign w:val="center"/>
          </w:tcPr>
          <w:p w14:paraId="0D854953">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18</w:t>
            </w:r>
          </w:p>
        </w:tc>
        <w:tc>
          <w:tcPr>
            <w:tcW w:w="1014" w:type="dxa"/>
            <w:tcBorders>
              <w:top w:val="single" w:color="auto" w:sz="4" w:space="0"/>
              <w:left w:val="nil"/>
              <w:bottom w:val="single" w:color="auto" w:sz="4" w:space="0"/>
              <w:right w:val="single" w:color="auto" w:sz="4" w:space="0"/>
            </w:tcBorders>
            <w:noWrap w:val="0"/>
            <w:vAlign w:val="center"/>
          </w:tcPr>
          <w:p w14:paraId="35667786">
            <w:pPr>
              <w:widowControl/>
              <w:jc w:val="center"/>
              <w:rPr>
                <w:rFonts w:ascii="宋体" w:hAnsi="宋体" w:cs="宋体"/>
                <w:color w:val="auto"/>
                <w:kern w:val="0"/>
                <w:szCs w:val="21"/>
                <w:highlight w:val="none"/>
              </w:rPr>
            </w:pPr>
            <w:r>
              <w:rPr>
                <w:rFonts w:hint="eastAsia" w:ascii="宋体" w:hAnsi="宋体" w:cs="宋体"/>
                <w:strike w:val="0"/>
                <w:dstrike w:val="0"/>
                <w:color w:val="auto"/>
                <w:kern w:val="0"/>
                <w:szCs w:val="21"/>
                <w:highlight w:val="none"/>
                <w:u w:val="none"/>
                <w:shd w:val="clear" w:fill="auto"/>
              </w:rPr>
              <w:t>　</w:t>
            </w:r>
          </w:p>
        </w:tc>
      </w:tr>
      <w:tr w14:paraId="42373204">
        <w:tblPrEx>
          <w:tblCellMar>
            <w:top w:w="0" w:type="dxa"/>
            <w:left w:w="108" w:type="dxa"/>
            <w:bottom w:w="0" w:type="dxa"/>
            <w:right w:w="108" w:type="dxa"/>
          </w:tblCellMar>
        </w:tblPrEx>
        <w:trPr>
          <w:trHeight w:val="285" w:hRule="atLeast"/>
          <w:jc w:val="center"/>
        </w:trPr>
        <w:tc>
          <w:tcPr>
            <w:tcW w:w="569" w:type="dxa"/>
            <w:tcBorders>
              <w:top w:val="nil"/>
              <w:left w:val="single" w:color="auto" w:sz="4" w:space="0"/>
              <w:bottom w:val="single" w:color="auto" w:sz="4" w:space="0"/>
              <w:right w:val="single" w:color="auto" w:sz="4" w:space="0"/>
            </w:tcBorders>
            <w:noWrap w:val="0"/>
            <w:vAlign w:val="center"/>
          </w:tcPr>
          <w:p w14:paraId="673B6468">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2644" w:type="dxa"/>
            <w:tcBorders>
              <w:top w:val="nil"/>
              <w:left w:val="nil"/>
              <w:bottom w:val="single" w:color="auto" w:sz="4" w:space="0"/>
              <w:right w:val="single" w:color="auto" w:sz="4" w:space="0"/>
            </w:tcBorders>
            <w:noWrap w:val="0"/>
            <w:vAlign w:val="center"/>
          </w:tcPr>
          <w:p w14:paraId="374CC2D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投资</w:t>
            </w:r>
            <w:r>
              <w:rPr>
                <w:rFonts w:ascii="宋体" w:hAnsi="宋体" w:cs="宋体"/>
                <w:color w:val="auto"/>
                <w:kern w:val="0"/>
                <w:szCs w:val="21"/>
                <w:highlight w:val="none"/>
              </w:rPr>
              <w:t>500-2500万元</w:t>
            </w:r>
          </w:p>
        </w:tc>
        <w:tc>
          <w:tcPr>
            <w:tcW w:w="748" w:type="dxa"/>
            <w:tcBorders>
              <w:top w:val="nil"/>
              <w:left w:val="nil"/>
              <w:bottom w:val="nil"/>
              <w:right w:val="single" w:color="auto" w:sz="4" w:space="0"/>
            </w:tcBorders>
            <w:noWrap w:val="0"/>
            <w:vAlign w:val="center"/>
          </w:tcPr>
          <w:p w14:paraId="156061AA">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15</w:t>
            </w:r>
          </w:p>
        </w:tc>
        <w:tc>
          <w:tcPr>
            <w:tcW w:w="802" w:type="dxa"/>
            <w:tcBorders>
              <w:top w:val="nil"/>
              <w:left w:val="nil"/>
              <w:bottom w:val="nil"/>
              <w:right w:val="single" w:color="auto" w:sz="4" w:space="0"/>
            </w:tcBorders>
            <w:noWrap w:val="0"/>
            <w:vAlign w:val="center"/>
          </w:tcPr>
          <w:p w14:paraId="20029245">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18</w:t>
            </w:r>
          </w:p>
        </w:tc>
        <w:tc>
          <w:tcPr>
            <w:tcW w:w="873" w:type="dxa"/>
            <w:tcBorders>
              <w:top w:val="nil"/>
              <w:left w:val="nil"/>
              <w:bottom w:val="nil"/>
              <w:right w:val="single" w:color="auto" w:sz="4" w:space="0"/>
            </w:tcBorders>
            <w:noWrap w:val="0"/>
            <w:vAlign w:val="center"/>
          </w:tcPr>
          <w:p w14:paraId="0C048EAA">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16</w:t>
            </w:r>
          </w:p>
        </w:tc>
        <w:tc>
          <w:tcPr>
            <w:tcW w:w="802" w:type="dxa"/>
            <w:tcBorders>
              <w:top w:val="nil"/>
              <w:left w:val="nil"/>
              <w:bottom w:val="nil"/>
              <w:right w:val="single" w:color="auto" w:sz="4" w:space="0"/>
            </w:tcBorders>
            <w:noWrap w:val="0"/>
            <w:vAlign w:val="center"/>
          </w:tcPr>
          <w:p w14:paraId="5232F6A8">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20</w:t>
            </w:r>
          </w:p>
        </w:tc>
        <w:tc>
          <w:tcPr>
            <w:tcW w:w="784" w:type="dxa"/>
            <w:tcBorders>
              <w:top w:val="nil"/>
              <w:left w:val="nil"/>
              <w:bottom w:val="nil"/>
              <w:right w:val="single" w:color="auto" w:sz="4" w:space="0"/>
            </w:tcBorders>
            <w:noWrap w:val="0"/>
            <w:vAlign w:val="center"/>
          </w:tcPr>
          <w:p w14:paraId="14F822F2">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18</w:t>
            </w:r>
          </w:p>
        </w:tc>
        <w:tc>
          <w:tcPr>
            <w:tcW w:w="825" w:type="dxa"/>
            <w:tcBorders>
              <w:top w:val="nil"/>
              <w:left w:val="nil"/>
              <w:bottom w:val="nil"/>
              <w:right w:val="single" w:color="auto" w:sz="4" w:space="0"/>
            </w:tcBorders>
            <w:noWrap w:val="0"/>
            <w:vAlign w:val="center"/>
          </w:tcPr>
          <w:p w14:paraId="1D31965A">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23</w:t>
            </w:r>
          </w:p>
        </w:tc>
        <w:tc>
          <w:tcPr>
            <w:tcW w:w="1014" w:type="dxa"/>
            <w:tcBorders>
              <w:top w:val="nil"/>
              <w:left w:val="nil"/>
              <w:bottom w:val="nil"/>
              <w:right w:val="single" w:color="auto" w:sz="4" w:space="0"/>
            </w:tcBorders>
            <w:noWrap w:val="0"/>
            <w:vAlign w:val="center"/>
          </w:tcPr>
          <w:p w14:paraId="1B3AADF9">
            <w:pPr>
              <w:widowControl/>
              <w:jc w:val="center"/>
              <w:rPr>
                <w:rFonts w:ascii="宋体" w:hAnsi="宋体" w:cs="宋体"/>
                <w:color w:val="auto"/>
                <w:kern w:val="0"/>
                <w:szCs w:val="21"/>
                <w:highlight w:val="none"/>
              </w:rPr>
            </w:pPr>
            <w:r>
              <w:rPr>
                <w:rFonts w:hint="eastAsia" w:ascii="宋体" w:hAnsi="宋体" w:cs="宋体"/>
                <w:strike w:val="0"/>
                <w:dstrike w:val="0"/>
                <w:color w:val="auto"/>
                <w:kern w:val="0"/>
                <w:szCs w:val="21"/>
                <w:highlight w:val="none"/>
                <w:u w:val="none"/>
                <w:shd w:val="clear" w:fill="auto"/>
              </w:rPr>
              <w:t>　</w:t>
            </w:r>
          </w:p>
        </w:tc>
      </w:tr>
      <w:tr w14:paraId="5F02C774">
        <w:tblPrEx>
          <w:tblCellMar>
            <w:top w:w="0" w:type="dxa"/>
            <w:left w:w="108" w:type="dxa"/>
            <w:bottom w:w="0" w:type="dxa"/>
            <w:right w:w="108" w:type="dxa"/>
          </w:tblCellMar>
        </w:tblPrEx>
        <w:trPr>
          <w:cantSplit/>
          <w:trHeight w:val="285" w:hRule="atLeast"/>
          <w:jc w:val="center"/>
        </w:trPr>
        <w:tc>
          <w:tcPr>
            <w:tcW w:w="569" w:type="dxa"/>
            <w:tcBorders>
              <w:top w:val="nil"/>
              <w:left w:val="single" w:color="auto" w:sz="4" w:space="0"/>
              <w:bottom w:val="single" w:color="auto" w:sz="4" w:space="0"/>
              <w:right w:val="single" w:color="auto" w:sz="4" w:space="0"/>
            </w:tcBorders>
            <w:noWrap w:val="0"/>
            <w:vAlign w:val="center"/>
          </w:tcPr>
          <w:p w14:paraId="3A22FAE2">
            <w:pPr>
              <w:widowControl/>
              <w:jc w:val="center"/>
              <w:rPr>
                <w:rFonts w:ascii="宋体" w:hAnsi="宋体" w:cs="宋体"/>
                <w:color w:val="auto"/>
                <w:kern w:val="0"/>
                <w:szCs w:val="21"/>
                <w:highlight w:val="none"/>
              </w:rPr>
            </w:pPr>
            <w:r>
              <w:rPr>
                <w:rFonts w:ascii="宋体" w:hAnsi="宋体" w:cs="宋体"/>
                <w:color w:val="auto"/>
                <w:kern w:val="0"/>
                <w:szCs w:val="21"/>
                <w:highlight w:val="none"/>
              </w:rPr>
              <w:t>3</w:t>
            </w:r>
          </w:p>
        </w:tc>
        <w:tc>
          <w:tcPr>
            <w:tcW w:w="2644" w:type="dxa"/>
            <w:tcBorders>
              <w:top w:val="nil"/>
              <w:left w:val="nil"/>
              <w:bottom w:val="single" w:color="auto" w:sz="4" w:space="0"/>
              <w:right w:val="single" w:color="auto" w:sz="4" w:space="0"/>
            </w:tcBorders>
            <w:noWrap w:val="0"/>
            <w:vAlign w:val="center"/>
          </w:tcPr>
          <w:p w14:paraId="21A1D51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投资</w:t>
            </w:r>
            <w:r>
              <w:rPr>
                <w:rFonts w:ascii="宋体" w:hAnsi="宋体" w:cs="宋体"/>
                <w:color w:val="auto"/>
                <w:kern w:val="0"/>
                <w:szCs w:val="21"/>
                <w:highlight w:val="none"/>
              </w:rPr>
              <w:t>2500-5000万元</w:t>
            </w:r>
          </w:p>
        </w:tc>
        <w:tc>
          <w:tcPr>
            <w:tcW w:w="748" w:type="dxa"/>
            <w:tcBorders>
              <w:top w:val="single" w:color="auto" w:sz="4" w:space="0"/>
              <w:left w:val="nil"/>
              <w:bottom w:val="single" w:color="auto" w:sz="4" w:space="0"/>
              <w:right w:val="single" w:color="auto" w:sz="4" w:space="0"/>
            </w:tcBorders>
            <w:noWrap w:val="0"/>
            <w:vAlign w:val="center"/>
          </w:tcPr>
          <w:p w14:paraId="5AF3E510">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18</w:t>
            </w:r>
          </w:p>
        </w:tc>
        <w:tc>
          <w:tcPr>
            <w:tcW w:w="802" w:type="dxa"/>
            <w:tcBorders>
              <w:top w:val="single" w:color="auto" w:sz="4" w:space="0"/>
              <w:left w:val="nil"/>
              <w:bottom w:val="single" w:color="auto" w:sz="4" w:space="0"/>
              <w:right w:val="single" w:color="auto" w:sz="4" w:space="0"/>
            </w:tcBorders>
            <w:noWrap w:val="0"/>
            <w:vAlign w:val="center"/>
          </w:tcPr>
          <w:p w14:paraId="2E98EEF5">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20</w:t>
            </w:r>
          </w:p>
        </w:tc>
        <w:tc>
          <w:tcPr>
            <w:tcW w:w="873" w:type="dxa"/>
            <w:tcBorders>
              <w:top w:val="single" w:color="auto" w:sz="4" w:space="0"/>
              <w:left w:val="nil"/>
              <w:bottom w:val="single" w:color="auto" w:sz="4" w:space="0"/>
              <w:right w:val="single" w:color="auto" w:sz="4" w:space="0"/>
            </w:tcBorders>
            <w:noWrap w:val="0"/>
            <w:vAlign w:val="center"/>
          </w:tcPr>
          <w:p w14:paraId="49835489">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19</w:t>
            </w:r>
          </w:p>
        </w:tc>
        <w:tc>
          <w:tcPr>
            <w:tcW w:w="802" w:type="dxa"/>
            <w:tcBorders>
              <w:top w:val="single" w:color="auto" w:sz="4" w:space="0"/>
              <w:left w:val="nil"/>
              <w:bottom w:val="single" w:color="auto" w:sz="4" w:space="0"/>
              <w:right w:val="single" w:color="auto" w:sz="4" w:space="0"/>
            </w:tcBorders>
            <w:noWrap w:val="0"/>
            <w:vAlign w:val="center"/>
          </w:tcPr>
          <w:p w14:paraId="41196C37">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22</w:t>
            </w:r>
          </w:p>
        </w:tc>
        <w:tc>
          <w:tcPr>
            <w:tcW w:w="784" w:type="dxa"/>
            <w:tcBorders>
              <w:top w:val="single" w:color="auto" w:sz="4" w:space="0"/>
              <w:left w:val="nil"/>
              <w:bottom w:val="single" w:color="auto" w:sz="4" w:space="0"/>
              <w:right w:val="single" w:color="auto" w:sz="4" w:space="0"/>
            </w:tcBorders>
            <w:noWrap w:val="0"/>
            <w:vAlign w:val="center"/>
          </w:tcPr>
          <w:p w14:paraId="628F40FA">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20</w:t>
            </w:r>
          </w:p>
        </w:tc>
        <w:tc>
          <w:tcPr>
            <w:tcW w:w="825" w:type="dxa"/>
            <w:tcBorders>
              <w:top w:val="single" w:color="auto" w:sz="4" w:space="0"/>
              <w:left w:val="nil"/>
              <w:bottom w:val="single" w:color="auto" w:sz="4" w:space="0"/>
              <w:right w:val="single" w:color="auto" w:sz="4" w:space="0"/>
            </w:tcBorders>
            <w:noWrap w:val="0"/>
            <w:vAlign w:val="center"/>
          </w:tcPr>
          <w:p w14:paraId="32EE97F8">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24</w:t>
            </w:r>
          </w:p>
        </w:tc>
        <w:tc>
          <w:tcPr>
            <w:tcW w:w="1014" w:type="dxa"/>
            <w:tcBorders>
              <w:top w:val="single" w:color="auto" w:sz="4" w:space="0"/>
              <w:left w:val="single" w:color="auto" w:sz="4" w:space="0"/>
              <w:bottom w:val="single" w:color="000000" w:sz="4" w:space="0"/>
              <w:right w:val="single" w:color="auto" w:sz="4" w:space="0"/>
            </w:tcBorders>
            <w:noWrap w:val="0"/>
            <w:vAlign w:val="center"/>
          </w:tcPr>
          <w:p w14:paraId="2AD2F77D">
            <w:pPr>
              <w:widowControl/>
              <w:jc w:val="center"/>
              <w:rPr>
                <w:rFonts w:ascii="宋体" w:hAnsi="宋体" w:cs="宋体"/>
                <w:color w:val="auto"/>
                <w:kern w:val="0"/>
                <w:szCs w:val="21"/>
                <w:highlight w:val="none"/>
              </w:rPr>
            </w:pPr>
            <w:r>
              <w:rPr>
                <w:rFonts w:hint="eastAsia" w:ascii="宋体" w:hAnsi="宋体" w:cs="宋体"/>
                <w:strike w:val="0"/>
                <w:dstrike w:val="0"/>
                <w:color w:val="auto"/>
                <w:kern w:val="0"/>
                <w:szCs w:val="21"/>
                <w:highlight w:val="none"/>
                <w:u w:val="none"/>
                <w:shd w:val="clear" w:fill="auto"/>
              </w:rPr>
              <w:t>　</w:t>
            </w:r>
          </w:p>
        </w:tc>
      </w:tr>
      <w:tr w14:paraId="73D4D9AA">
        <w:tblPrEx>
          <w:tblCellMar>
            <w:top w:w="0" w:type="dxa"/>
            <w:left w:w="108" w:type="dxa"/>
            <w:bottom w:w="0" w:type="dxa"/>
            <w:right w:w="108" w:type="dxa"/>
          </w:tblCellMar>
        </w:tblPrEx>
        <w:trPr>
          <w:cantSplit/>
          <w:trHeight w:val="285" w:hRule="atLeast"/>
          <w:jc w:val="center"/>
        </w:trPr>
        <w:tc>
          <w:tcPr>
            <w:tcW w:w="569" w:type="dxa"/>
            <w:tcBorders>
              <w:top w:val="nil"/>
              <w:left w:val="single" w:color="auto" w:sz="4" w:space="0"/>
              <w:bottom w:val="single" w:color="auto" w:sz="4" w:space="0"/>
              <w:right w:val="single" w:color="auto" w:sz="4" w:space="0"/>
            </w:tcBorders>
            <w:noWrap w:val="0"/>
            <w:vAlign w:val="center"/>
          </w:tcPr>
          <w:p w14:paraId="28CBAB36">
            <w:pPr>
              <w:widowControl/>
              <w:jc w:val="center"/>
              <w:rPr>
                <w:rFonts w:ascii="宋体" w:hAnsi="宋体" w:cs="宋体"/>
                <w:color w:val="auto"/>
                <w:kern w:val="0"/>
                <w:szCs w:val="21"/>
                <w:highlight w:val="none"/>
              </w:rPr>
            </w:pPr>
            <w:r>
              <w:rPr>
                <w:rFonts w:ascii="宋体" w:hAnsi="宋体" w:cs="宋体"/>
                <w:color w:val="auto"/>
                <w:kern w:val="0"/>
                <w:szCs w:val="21"/>
                <w:highlight w:val="none"/>
              </w:rPr>
              <w:t>4</w:t>
            </w:r>
          </w:p>
        </w:tc>
        <w:tc>
          <w:tcPr>
            <w:tcW w:w="2644" w:type="dxa"/>
            <w:tcBorders>
              <w:top w:val="nil"/>
              <w:left w:val="nil"/>
              <w:bottom w:val="single" w:color="auto" w:sz="4" w:space="0"/>
              <w:right w:val="single" w:color="auto" w:sz="4" w:space="0"/>
            </w:tcBorders>
            <w:noWrap w:val="0"/>
            <w:vAlign w:val="center"/>
          </w:tcPr>
          <w:p w14:paraId="7671E06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投资</w:t>
            </w:r>
            <w:r>
              <w:rPr>
                <w:rFonts w:ascii="宋体" w:hAnsi="宋体" w:cs="宋体"/>
                <w:color w:val="auto"/>
                <w:kern w:val="0"/>
                <w:szCs w:val="21"/>
                <w:highlight w:val="none"/>
              </w:rPr>
              <w:t>5000-7500万元</w:t>
            </w:r>
          </w:p>
        </w:tc>
        <w:tc>
          <w:tcPr>
            <w:tcW w:w="748" w:type="dxa"/>
            <w:tcBorders>
              <w:top w:val="nil"/>
              <w:left w:val="nil"/>
              <w:bottom w:val="single" w:color="auto" w:sz="4" w:space="0"/>
              <w:right w:val="single" w:color="auto" w:sz="4" w:space="0"/>
            </w:tcBorders>
            <w:noWrap w:val="0"/>
            <w:vAlign w:val="center"/>
          </w:tcPr>
          <w:p w14:paraId="1A2419D7">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20</w:t>
            </w:r>
          </w:p>
        </w:tc>
        <w:tc>
          <w:tcPr>
            <w:tcW w:w="802" w:type="dxa"/>
            <w:tcBorders>
              <w:top w:val="nil"/>
              <w:left w:val="nil"/>
              <w:bottom w:val="single" w:color="auto" w:sz="4" w:space="0"/>
              <w:right w:val="single" w:color="auto" w:sz="4" w:space="0"/>
            </w:tcBorders>
            <w:noWrap w:val="0"/>
            <w:vAlign w:val="center"/>
          </w:tcPr>
          <w:p w14:paraId="3FFC65AA">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23</w:t>
            </w:r>
          </w:p>
        </w:tc>
        <w:tc>
          <w:tcPr>
            <w:tcW w:w="873" w:type="dxa"/>
            <w:tcBorders>
              <w:top w:val="nil"/>
              <w:left w:val="nil"/>
              <w:bottom w:val="single" w:color="auto" w:sz="4" w:space="0"/>
              <w:right w:val="single" w:color="auto" w:sz="4" w:space="0"/>
            </w:tcBorders>
            <w:noWrap w:val="0"/>
            <w:vAlign w:val="center"/>
          </w:tcPr>
          <w:p w14:paraId="1E2880B7">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21</w:t>
            </w:r>
          </w:p>
        </w:tc>
        <w:tc>
          <w:tcPr>
            <w:tcW w:w="802" w:type="dxa"/>
            <w:tcBorders>
              <w:top w:val="nil"/>
              <w:left w:val="nil"/>
              <w:bottom w:val="single" w:color="auto" w:sz="4" w:space="0"/>
              <w:right w:val="single" w:color="auto" w:sz="4" w:space="0"/>
            </w:tcBorders>
            <w:noWrap w:val="0"/>
            <w:vAlign w:val="center"/>
          </w:tcPr>
          <w:p w14:paraId="3A447052">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25</w:t>
            </w:r>
          </w:p>
        </w:tc>
        <w:tc>
          <w:tcPr>
            <w:tcW w:w="784" w:type="dxa"/>
            <w:tcBorders>
              <w:top w:val="nil"/>
              <w:left w:val="nil"/>
              <w:bottom w:val="single" w:color="auto" w:sz="4" w:space="0"/>
              <w:right w:val="single" w:color="auto" w:sz="4" w:space="0"/>
            </w:tcBorders>
            <w:noWrap w:val="0"/>
            <w:vAlign w:val="center"/>
          </w:tcPr>
          <w:p w14:paraId="5088DA4E">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23</w:t>
            </w:r>
          </w:p>
        </w:tc>
        <w:tc>
          <w:tcPr>
            <w:tcW w:w="825" w:type="dxa"/>
            <w:tcBorders>
              <w:top w:val="nil"/>
              <w:left w:val="nil"/>
              <w:bottom w:val="single" w:color="auto" w:sz="4" w:space="0"/>
              <w:right w:val="single" w:color="auto" w:sz="4" w:space="0"/>
            </w:tcBorders>
            <w:noWrap w:val="0"/>
            <w:vAlign w:val="center"/>
          </w:tcPr>
          <w:p w14:paraId="1F4DCAC2">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28</w:t>
            </w:r>
          </w:p>
        </w:tc>
        <w:tc>
          <w:tcPr>
            <w:tcW w:w="1014" w:type="dxa"/>
            <w:tcBorders>
              <w:top w:val="single" w:color="auto" w:sz="4" w:space="0"/>
              <w:left w:val="single" w:color="auto" w:sz="4" w:space="0"/>
              <w:bottom w:val="single" w:color="000000" w:sz="4" w:space="0"/>
              <w:right w:val="single" w:color="auto" w:sz="4" w:space="0"/>
            </w:tcBorders>
            <w:noWrap w:val="0"/>
            <w:vAlign w:val="center"/>
          </w:tcPr>
          <w:p w14:paraId="087ECF88">
            <w:pPr>
              <w:widowControl/>
              <w:jc w:val="left"/>
              <w:rPr>
                <w:rFonts w:ascii="宋体" w:hAnsi="宋体" w:cs="宋体"/>
                <w:color w:val="auto"/>
                <w:kern w:val="0"/>
                <w:szCs w:val="21"/>
                <w:highlight w:val="none"/>
              </w:rPr>
            </w:pPr>
          </w:p>
        </w:tc>
      </w:tr>
      <w:tr w14:paraId="7035B4D1">
        <w:tblPrEx>
          <w:tblCellMar>
            <w:top w:w="0" w:type="dxa"/>
            <w:left w:w="108" w:type="dxa"/>
            <w:bottom w:w="0" w:type="dxa"/>
            <w:right w:w="108" w:type="dxa"/>
          </w:tblCellMar>
        </w:tblPrEx>
        <w:trPr>
          <w:cantSplit/>
          <w:trHeight w:val="285" w:hRule="atLeast"/>
          <w:jc w:val="center"/>
        </w:trPr>
        <w:tc>
          <w:tcPr>
            <w:tcW w:w="569" w:type="dxa"/>
            <w:tcBorders>
              <w:top w:val="nil"/>
              <w:left w:val="single" w:color="auto" w:sz="4" w:space="0"/>
              <w:bottom w:val="single" w:color="auto" w:sz="4" w:space="0"/>
              <w:right w:val="single" w:color="auto" w:sz="4" w:space="0"/>
            </w:tcBorders>
            <w:noWrap w:val="0"/>
            <w:vAlign w:val="center"/>
          </w:tcPr>
          <w:p w14:paraId="3D2BE953">
            <w:pPr>
              <w:widowControl/>
              <w:jc w:val="center"/>
              <w:rPr>
                <w:rFonts w:ascii="宋体" w:hAnsi="宋体" w:cs="宋体"/>
                <w:color w:val="auto"/>
                <w:kern w:val="0"/>
                <w:szCs w:val="21"/>
                <w:highlight w:val="none"/>
              </w:rPr>
            </w:pPr>
            <w:r>
              <w:rPr>
                <w:rFonts w:ascii="宋体" w:hAnsi="宋体" w:cs="宋体"/>
                <w:color w:val="auto"/>
                <w:kern w:val="0"/>
                <w:szCs w:val="21"/>
                <w:highlight w:val="none"/>
              </w:rPr>
              <w:t>5</w:t>
            </w:r>
          </w:p>
        </w:tc>
        <w:tc>
          <w:tcPr>
            <w:tcW w:w="2644" w:type="dxa"/>
            <w:tcBorders>
              <w:top w:val="nil"/>
              <w:left w:val="nil"/>
              <w:bottom w:val="single" w:color="auto" w:sz="4" w:space="0"/>
              <w:right w:val="single" w:color="auto" w:sz="4" w:space="0"/>
            </w:tcBorders>
            <w:noWrap w:val="0"/>
            <w:vAlign w:val="center"/>
          </w:tcPr>
          <w:p w14:paraId="6974DF9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投资</w:t>
            </w:r>
            <w:r>
              <w:rPr>
                <w:rFonts w:ascii="宋体" w:hAnsi="宋体" w:cs="宋体"/>
                <w:color w:val="auto"/>
                <w:kern w:val="0"/>
                <w:szCs w:val="21"/>
                <w:highlight w:val="none"/>
              </w:rPr>
              <w:t>7500-10000万元</w:t>
            </w:r>
          </w:p>
        </w:tc>
        <w:tc>
          <w:tcPr>
            <w:tcW w:w="748" w:type="dxa"/>
            <w:tcBorders>
              <w:top w:val="nil"/>
              <w:left w:val="nil"/>
              <w:bottom w:val="single" w:color="auto" w:sz="4" w:space="0"/>
              <w:right w:val="single" w:color="auto" w:sz="4" w:space="0"/>
            </w:tcBorders>
            <w:noWrap w:val="0"/>
            <w:vAlign w:val="center"/>
          </w:tcPr>
          <w:p w14:paraId="10648D23">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23</w:t>
            </w:r>
          </w:p>
        </w:tc>
        <w:tc>
          <w:tcPr>
            <w:tcW w:w="802" w:type="dxa"/>
            <w:tcBorders>
              <w:top w:val="nil"/>
              <w:left w:val="nil"/>
              <w:bottom w:val="single" w:color="auto" w:sz="4" w:space="0"/>
              <w:right w:val="single" w:color="auto" w:sz="4" w:space="0"/>
            </w:tcBorders>
            <w:noWrap w:val="0"/>
            <w:vAlign w:val="center"/>
          </w:tcPr>
          <w:p w14:paraId="06D99D80">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27</w:t>
            </w:r>
          </w:p>
        </w:tc>
        <w:tc>
          <w:tcPr>
            <w:tcW w:w="873" w:type="dxa"/>
            <w:tcBorders>
              <w:top w:val="nil"/>
              <w:left w:val="nil"/>
              <w:bottom w:val="single" w:color="auto" w:sz="4" w:space="0"/>
              <w:right w:val="single" w:color="auto" w:sz="4" w:space="0"/>
            </w:tcBorders>
            <w:noWrap w:val="0"/>
            <w:vAlign w:val="center"/>
          </w:tcPr>
          <w:p w14:paraId="71ACB88D">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24</w:t>
            </w:r>
          </w:p>
        </w:tc>
        <w:tc>
          <w:tcPr>
            <w:tcW w:w="802" w:type="dxa"/>
            <w:tcBorders>
              <w:top w:val="nil"/>
              <w:left w:val="nil"/>
              <w:bottom w:val="single" w:color="auto" w:sz="4" w:space="0"/>
              <w:right w:val="single" w:color="auto" w:sz="4" w:space="0"/>
            </w:tcBorders>
            <w:noWrap w:val="0"/>
            <w:vAlign w:val="center"/>
          </w:tcPr>
          <w:p w14:paraId="60B7FA46">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29</w:t>
            </w:r>
          </w:p>
        </w:tc>
        <w:tc>
          <w:tcPr>
            <w:tcW w:w="784" w:type="dxa"/>
            <w:tcBorders>
              <w:top w:val="nil"/>
              <w:left w:val="nil"/>
              <w:bottom w:val="single" w:color="auto" w:sz="4" w:space="0"/>
              <w:right w:val="single" w:color="auto" w:sz="4" w:space="0"/>
            </w:tcBorders>
            <w:noWrap w:val="0"/>
            <w:vAlign w:val="center"/>
          </w:tcPr>
          <w:p w14:paraId="2C74D3EA">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26</w:t>
            </w:r>
          </w:p>
        </w:tc>
        <w:tc>
          <w:tcPr>
            <w:tcW w:w="825" w:type="dxa"/>
            <w:tcBorders>
              <w:top w:val="nil"/>
              <w:left w:val="nil"/>
              <w:bottom w:val="single" w:color="auto" w:sz="4" w:space="0"/>
              <w:right w:val="single" w:color="auto" w:sz="4" w:space="0"/>
            </w:tcBorders>
            <w:noWrap w:val="0"/>
            <w:vAlign w:val="center"/>
          </w:tcPr>
          <w:p w14:paraId="30A05266">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31</w:t>
            </w:r>
          </w:p>
        </w:tc>
        <w:tc>
          <w:tcPr>
            <w:tcW w:w="1014" w:type="dxa"/>
            <w:tcBorders>
              <w:top w:val="single" w:color="auto" w:sz="4" w:space="0"/>
              <w:left w:val="single" w:color="auto" w:sz="4" w:space="0"/>
              <w:bottom w:val="single" w:color="000000" w:sz="4" w:space="0"/>
              <w:right w:val="single" w:color="auto" w:sz="4" w:space="0"/>
            </w:tcBorders>
            <w:noWrap w:val="0"/>
            <w:vAlign w:val="center"/>
          </w:tcPr>
          <w:p w14:paraId="4FD6CD4F">
            <w:pPr>
              <w:widowControl/>
              <w:jc w:val="left"/>
              <w:rPr>
                <w:rFonts w:ascii="宋体" w:hAnsi="宋体" w:cs="宋体"/>
                <w:color w:val="auto"/>
                <w:kern w:val="0"/>
                <w:szCs w:val="21"/>
                <w:highlight w:val="none"/>
              </w:rPr>
            </w:pPr>
          </w:p>
        </w:tc>
      </w:tr>
      <w:tr w14:paraId="04E189C2">
        <w:tblPrEx>
          <w:tblCellMar>
            <w:top w:w="0" w:type="dxa"/>
            <w:left w:w="108" w:type="dxa"/>
            <w:bottom w:w="0" w:type="dxa"/>
            <w:right w:w="108" w:type="dxa"/>
          </w:tblCellMar>
        </w:tblPrEx>
        <w:trPr>
          <w:cantSplit/>
          <w:trHeight w:val="285" w:hRule="atLeast"/>
          <w:jc w:val="center"/>
        </w:trPr>
        <w:tc>
          <w:tcPr>
            <w:tcW w:w="569" w:type="dxa"/>
            <w:tcBorders>
              <w:top w:val="nil"/>
              <w:left w:val="single" w:color="auto" w:sz="4" w:space="0"/>
              <w:bottom w:val="single" w:color="auto" w:sz="4" w:space="0"/>
              <w:right w:val="single" w:color="auto" w:sz="4" w:space="0"/>
            </w:tcBorders>
            <w:noWrap w:val="0"/>
            <w:vAlign w:val="center"/>
          </w:tcPr>
          <w:p w14:paraId="0AEB748B">
            <w:pPr>
              <w:widowControl/>
              <w:jc w:val="center"/>
              <w:rPr>
                <w:rFonts w:ascii="宋体" w:hAnsi="宋体" w:cs="宋体"/>
                <w:color w:val="auto"/>
                <w:kern w:val="0"/>
                <w:szCs w:val="21"/>
                <w:highlight w:val="none"/>
              </w:rPr>
            </w:pPr>
            <w:r>
              <w:rPr>
                <w:rFonts w:ascii="宋体" w:hAnsi="宋体" w:cs="宋体"/>
                <w:color w:val="auto"/>
                <w:kern w:val="0"/>
                <w:szCs w:val="21"/>
                <w:highlight w:val="none"/>
              </w:rPr>
              <w:t>6</w:t>
            </w:r>
          </w:p>
        </w:tc>
        <w:tc>
          <w:tcPr>
            <w:tcW w:w="2644" w:type="dxa"/>
            <w:tcBorders>
              <w:top w:val="nil"/>
              <w:left w:val="nil"/>
              <w:bottom w:val="single" w:color="auto" w:sz="4" w:space="0"/>
              <w:right w:val="single" w:color="auto" w:sz="4" w:space="0"/>
            </w:tcBorders>
            <w:noWrap w:val="0"/>
            <w:vAlign w:val="center"/>
          </w:tcPr>
          <w:p w14:paraId="5151C66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投资</w:t>
            </w:r>
            <w:r>
              <w:rPr>
                <w:rFonts w:ascii="宋体" w:hAnsi="宋体" w:cs="宋体"/>
                <w:color w:val="auto"/>
                <w:kern w:val="0"/>
                <w:szCs w:val="21"/>
                <w:highlight w:val="none"/>
              </w:rPr>
              <w:t>10000万元以上</w:t>
            </w:r>
          </w:p>
        </w:tc>
        <w:tc>
          <w:tcPr>
            <w:tcW w:w="748" w:type="dxa"/>
            <w:tcBorders>
              <w:top w:val="nil"/>
              <w:left w:val="nil"/>
              <w:bottom w:val="single" w:color="auto" w:sz="4" w:space="0"/>
              <w:right w:val="single" w:color="auto" w:sz="4" w:space="0"/>
            </w:tcBorders>
            <w:noWrap w:val="0"/>
            <w:vAlign w:val="center"/>
          </w:tcPr>
          <w:p w14:paraId="4CA589D1">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26</w:t>
            </w:r>
          </w:p>
        </w:tc>
        <w:tc>
          <w:tcPr>
            <w:tcW w:w="802" w:type="dxa"/>
            <w:tcBorders>
              <w:top w:val="nil"/>
              <w:left w:val="nil"/>
              <w:bottom w:val="single" w:color="auto" w:sz="4" w:space="0"/>
              <w:right w:val="single" w:color="auto" w:sz="4" w:space="0"/>
            </w:tcBorders>
            <w:noWrap w:val="0"/>
            <w:vAlign w:val="center"/>
          </w:tcPr>
          <w:p w14:paraId="1524FBD5">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30</w:t>
            </w:r>
          </w:p>
        </w:tc>
        <w:tc>
          <w:tcPr>
            <w:tcW w:w="873" w:type="dxa"/>
            <w:tcBorders>
              <w:top w:val="nil"/>
              <w:left w:val="nil"/>
              <w:bottom w:val="single" w:color="auto" w:sz="4" w:space="0"/>
              <w:right w:val="single" w:color="auto" w:sz="4" w:space="0"/>
            </w:tcBorders>
            <w:noWrap w:val="0"/>
            <w:vAlign w:val="center"/>
          </w:tcPr>
          <w:p w14:paraId="08F0B669">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27</w:t>
            </w:r>
          </w:p>
        </w:tc>
        <w:tc>
          <w:tcPr>
            <w:tcW w:w="802" w:type="dxa"/>
            <w:tcBorders>
              <w:top w:val="nil"/>
              <w:left w:val="nil"/>
              <w:bottom w:val="single" w:color="auto" w:sz="4" w:space="0"/>
              <w:right w:val="single" w:color="auto" w:sz="4" w:space="0"/>
            </w:tcBorders>
            <w:noWrap w:val="0"/>
            <w:vAlign w:val="center"/>
          </w:tcPr>
          <w:p w14:paraId="2246A2EB">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33</w:t>
            </w:r>
          </w:p>
        </w:tc>
        <w:tc>
          <w:tcPr>
            <w:tcW w:w="784" w:type="dxa"/>
            <w:tcBorders>
              <w:top w:val="nil"/>
              <w:left w:val="nil"/>
              <w:bottom w:val="single" w:color="auto" w:sz="4" w:space="0"/>
              <w:right w:val="single" w:color="auto" w:sz="4" w:space="0"/>
            </w:tcBorders>
            <w:noWrap w:val="0"/>
            <w:vAlign w:val="center"/>
          </w:tcPr>
          <w:p w14:paraId="2E28E694">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28</w:t>
            </w:r>
          </w:p>
        </w:tc>
        <w:tc>
          <w:tcPr>
            <w:tcW w:w="825" w:type="dxa"/>
            <w:tcBorders>
              <w:top w:val="nil"/>
              <w:left w:val="nil"/>
              <w:bottom w:val="single" w:color="auto" w:sz="4" w:space="0"/>
              <w:right w:val="single" w:color="auto" w:sz="4" w:space="0"/>
            </w:tcBorders>
            <w:noWrap w:val="0"/>
            <w:vAlign w:val="center"/>
          </w:tcPr>
          <w:p w14:paraId="3C919667">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35</w:t>
            </w:r>
          </w:p>
        </w:tc>
        <w:tc>
          <w:tcPr>
            <w:tcW w:w="1014" w:type="dxa"/>
            <w:tcBorders>
              <w:top w:val="single" w:color="auto" w:sz="4" w:space="0"/>
              <w:left w:val="single" w:color="auto" w:sz="4" w:space="0"/>
              <w:bottom w:val="single" w:color="000000" w:sz="4" w:space="0"/>
              <w:right w:val="single" w:color="auto" w:sz="4" w:space="0"/>
            </w:tcBorders>
            <w:noWrap w:val="0"/>
            <w:vAlign w:val="center"/>
          </w:tcPr>
          <w:p w14:paraId="65BE440E">
            <w:pPr>
              <w:widowControl/>
              <w:jc w:val="left"/>
              <w:rPr>
                <w:rFonts w:ascii="宋体" w:hAnsi="宋体" w:cs="宋体"/>
                <w:color w:val="auto"/>
                <w:kern w:val="0"/>
                <w:szCs w:val="21"/>
                <w:highlight w:val="none"/>
              </w:rPr>
            </w:pPr>
          </w:p>
        </w:tc>
      </w:tr>
    </w:tbl>
    <w:p w14:paraId="196C1DD2">
      <w:pPr>
        <w:pStyle w:val="22"/>
        <w:rPr>
          <w:rFonts w:hint="eastAsia"/>
          <w:color w:val="auto"/>
          <w:highlight w:val="none"/>
        </w:rPr>
      </w:pPr>
      <w:r>
        <w:rPr>
          <w:rFonts w:hint="eastAsia" w:ascii="宋体" w:hAnsi="宋体"/>
          <w:color w:val="auto"/>
          <w:szCs w:val="21"/>
          <w:highlight w:val="none"/>
        </w:rPr>
        <w:t>以上时限为完成工程造价成果文件的全部时间，包括编审、对数、现场勘察及复核后修改等时间。具体每项工程的完成时间，以合同规定的完成时限为准。</w:t>
      </w:r>
    </w:p>
    <w:p w14:paraId="401CAA5B">
      <w:pPr>
        <w:rPr>
          <w:color w:val="auto"/>
          <w:highlight w:val="none"/>
        </w:rPr>
        <w:sectPr>
          <w:headerReference r:id="rId6" w:type="first"/>
          <w:footerReference r:id="rId8" w:type="first"/>
          <w:headerReference r:id="rId4" w:type="default"/>
          <w:footerReference r:id="rId7" w:type="default"/>
          <w:headerReference r:id="rId5" w:type="even"/>
          <w:pgSz w:w="11906" w:h="16838"/>
          <w:pgMar w:top="1440" w:right="1800" w:bottom="1440" w:left="1800" w:header="708" w:footer="708" w:gutter="0"/>
          <w:cols w:space="708" w:num="1"/>
          <w:titlePg/>
          <w:docGrid w:type="lines" w:linePitch="360" w:charSpace="0"/>
        </w:sectPr>
      </w:pPr>
    </w:p>
    <w:p w14:paraId="17332611">
      <w:pPr>
        <w:spacing w:line="360" w:lineRule="auto"/>
        <w:outlineLvl w:val="3"/>
        <w:rPr>
          <w:rFonts w:hint="eastAsia" w:ascii="宋体" w:hAnsi="宋体"/>
          <w:b/>
          <w:bCs/>
          <w:color w:val="auto"/>
          <w:sz w:val="28"/>
          <w:szCs w:val="28"/>
          <w:highlight w:val="none"/>
        </w:rPr>
        <w:sectPr>
          <w:footerReference r:id="rId9" w:type="default"/>
          <w:pgSz w:w="11907" w:h="16840"/>
          <w:pgMar w:top="1135" w:right="1134" w:bottom="851" w:left="1418" w:header="851" w:footer="1191" w:gutter="0"/>
          <w:cols w:space="720" w:num="1"/>
          <w:docGrid w:type="linesAndChars" w:linePitch="332" w:charSpace="0"/>
        </w:sectPr>
      </w:pPr>
    </w:p>
    <w:p w14:paraId="209ADBDA">
      <w:pPr>
        <w:pStyle w:val="6"/>
        <w:bidi w:val="0"/>
        <w:rPr>
          <w:rFonts w:hint="eastAsia"/>
          <w:sz w:val="22"/>
          <w:szCs w:val="22"/>
          <w:highlight w:val="none"/>
        </w:rPr>
      </w:pPr>
      <w:r>
        <w:rPr>
          <w:rFonts w:hint="eastAsia"/>
          <w:sz w:val="22"/>
          <w:szCs w:val="22"/>
          <w:highlight w:val="none"/>
        </w:rPr>
        <w:t>附件</w:t>
      </w:r>
      <w:r>
        <w:rPr>
          <w:rFonts w:hint="eastAsia"/>
          <w:sz w:val="22"/>
          <w:szCs w:val="22"/>
          <w:highlight w:val="none"/>
          <w:lang w:val="en-US" w:eastAsia="zh-CN"/>
        </w:rPr>
        <w:t>七</w:t>
      </w:r>
      <w:r>
        <w:rPr>
          <w:rFonts w:hint="eastAsia"/>
          <w:sz w:val="22"/>
          <w:szCs w:val="22"/>
          <w:highlight w:val="none"/>
        </w:rPr>
        <w:t>：</w:t>
      </w:r>
      <w:r>
        <w:rPr>
          <w:rFonts w:hint="eastAsia"/>
          <w:sz w:val="22"/>
          <w:szCs w:val="22"/>
          <w:highlight w:val="none"/>
          <w:lang w:val="zh-CN"/>
        </w:rPr>
        <w:t>造价咨询服务收费项目和收费标准</w:t>
      </w:r>
    </w:p>
    <w:p w14:paraId="6490B920">
      <w:pPr>
        <w:widowControl/>
        <w:tabs>
          <w:tab w:val="left" w:pos="10422"/>
        </w:tabs>
        <w:spacing w:line="360" w:lineRule="auto"/>
        <w:jc w:val="center"/>
        <w:rPr>
          <w:rFonts w:hAnsi="宋体" w:cs="宋体"/>
          <w:b/>
          <w:color w:val="auto"/>
          <w:szCs w:val="21"/>
          <w:highlight w:val="none"/>
        </w:rPr>
      </w:pPr>
      <w:r>
        <w:rPr>
          <w:rFonts w:hint="eastAsia" w:ascii="宋体"/>
          <w:color w:val="auto"/>
          <w:szCs w:val="21"/>
          <w:highlight w:val="none"/>
          <w:lang w:val="zh-CN"/>
        </w:rPr>
        <w:t>东莞市财政投资项目造价咨询服务收费项目和收费标准</w:t>
      </w:r>
    </w:p>
    <w:tbl>
      <w:tblPr>
        <w:tblStyle w:val="29"/>
        <w:tblW w:w="14996" w:type="dxa"/>
        <w:tblInd w:w="0" w:type="dxa"/>
        <w:tblLayout w:type="fixed"/>
        <w:tblCellMar>
          <w:top w:w="0" w:type="dxa"/>
          <w:left w:w="15" w:type="dxa"/>
          <w:bottom w:w="0" w:type="dxa"/>
          <w:right w:w="15" w:type="dxa"/>
        </w:tblCellMar>
      </w:tblPr>
      <w:tblGrid>
        <w:gridCol w:w="450"/>
        <w:gridCol w:w="661"/>
        <w:gridCol w:w="500"/>
        <w:gridCol w:w="144"/>
        <w:gridCol w:w="1162"/>
        <w:gridCol w:w="3873"/>
        <w:gridCol w:w="1822"/>
        <w:gridCol w:w="893"/>
        <w:gridCol w:w="795"/>
        <w:gridCol w:w="855"/>
        <w:gridCol w:w="900"/>
        <w:gridCol w:w="962"/>
        <w:gridCol w:w="757"/>
        <w:gridCol w:w="1222"/>
      </w:tblGrid>
      <w:tr w14:paraId="58BF28F8">
        <w:tblPrEx>
          <w:tblCellMar>
            <w:top w:w="0" w:type="dxa"/>
            <w:left w:w="15" w:type="dxa"/>
            <w:bottom w:w="0" w:type="dxa"/>
            <w:right w:w="15" w:type="dxa"/>
          </w:tblCellMar>
        </w:tblPrEx>
        <w:trPr>
          <w:trHeight w:val="504"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81886">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序号</w:t>
            </w:r>
          </w:p>
        </w:tc>
        <w:tc>
          <w:tcPr>
            <w:tcW w:w="246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3B00E">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咨询项目名称</w:t>
            </w:r>
          </w:p>
        </w:tc>
        <w:tc>
          <w:tcPr>
            <w:tcW w:w="387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91491">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服务内容</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3DB2F">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收费基数</w:t>
            </w:r>
          </w:p>
        </w:tc>
        <w:tc>
          <w:tcPr>
            <w:tcW w:w="5162"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6CE15">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最高收费标准</w:t>
            </w:r>
          </w:p>
        </w:tc>
        <w:tc>
          <w:tcPr>
            <w:tcW w:w="1222" w:type="dxa"/>
            <w:vMerge w:val="restart"/>
            <w:tcBorders>
              <w:top w:val="single" w:color="auto" w:sz="4" w:space="0"/>
              <w:right w:val="single" w:color="auto" w:sz="4" w:space="0"/>
            </w:tcBorders>
            <w:shd w:val="clear" w:color="auto" w:fill="auto"/>
            <w:noWrap w:val="0"/>
            <w:vAlign w:val="center"/>
          </w:tcPr>
          <w:p w14:paraId="168494B9">
            <w:pPr>
              <w:widowControl/>
              <w:jc w:val="center"/>
              <w:rPr>
                <w:color w:val="auto"/>
                <w:highlight w:val="none"/>
              </w:rPr>
            </w:pPr>
            <w:r>
              <w:rPr>
                <w:rFonts w:hint="eastAsia" w:hAnsi="宋体" w:cs="宋体"/>
                <w:color w:val="auto"/>
                <w:sz w:val="18"/>
                <w:szCs w:val="18"/>
                <w:highlight w:val="none"/>
              </w:rPr>
              <w:t>备注</w:t>
            </w:r>
          </w:p>
        </w:tc>
      </w:tr>
      <w:tr w14:paraId="189B1D6D">
        <w:tblPrEx>
          <w:tblCellMar>
            <w:top w:w="0" w:type="dxa"/>
            <w:left w:w="15" w:type="dxa"/>
            <w:bottom w:w="0" w:type="dxa"/>
            <w:right w:w="15" w:type="dxa"/>
          </w:tblCellMar>
        </w:tblPrEx>
        <w:trPr>
          <w:trHeight w:val="998"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F48F7">
            <w:pPr>
              <w:spacing w:line="360" w:lineRule="auto"/>
              <w:rPr>
                <w:rFonts w:hAnsi="宋体" w:cs="宋体"/>
                <w:color w:val="auto"/>
                <w:sz w:val="18"/>
                <w:szCs w:val="18"/>
                <w:highlight w:val="none"/>
              </w:rPr>
            </w:pPr>
          </w:p>
        </w:tc>
        <w:tc>
          <w:tcPr>
            <w:tcW w:w="246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C9585">
            <w:pPr>
              <w:spacing w:line="360" w:lineRule="auto"/>
              <w:rPr>
                <w:rFonts w:hAnsi="宋体" w:cs="宋体"/>
                <w:color w:val="auto"/>
                <w:sz w:val="18"/>
                <w:szCs w:val="18"/>
                <w:highlight w:val="none"/>
              </w:rPr>
            </w:pPr>
          </w:p>
        </w:tc>
        <w:tc>
          <w:tcPr>
            <w:tcW w:w="387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CAFCE">
            <w:pPr>
              <w:spacing w:line="360" w:lineRule="auto"/>
              <w:rPr>
                <w:rFonts w:hAnsi="宋体" w:cs="宋体"/>
                <w:color w:val="auto"/>
                <w:sz w:val="18"/>
                <w:szCs w:val="18"/>
                <w:highlight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96D0E">
            <w:pPr>
              <w:spacing w:line="360" w:lineRule="auto"/>
              <w:rPr>
                <w:rFonts w:hAnsi="宋体" w:cs="宋体"/>
                <w:color w:val="auto"/>
                <w:sz w:val="18"/>
                <w:szCs w:val="18"/>
                <w:highlight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A5B41">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100</w:t>
            </w:r>
            <w:r>
              <w:rPr>
                <w:rFonts w:hint="eastAsia" w:hAnsi="宋体" w:cs="宋体"/>
                <w:color w:val="auto"/>
                <w:sz w:val="18"/>
                <w:szCs w:val="18"/>
                <w:highlight w:val="none"/>
              </w:rPr>
              <w:t>万元以内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74530">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101-500</w:t>
            </w:r>
            <w:r>
              <w:rPr>
                <w:rFonts w:hint="eastAsia" w:hAnsi="宋体" w:cs="宋体"/>
                <w:color w:val="auto"/>
                <w:sz w:val="18"/>
                <w:szCs w:val="18"/>
                <w:highlight w:val="none"/>
              </w:rPr>
              <w:t>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B6507">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501-1000</w:t>
            </w:r>
            <w:r>
              <w:rPr>
                <w:rFonts w:hint="eastAsia" w:hAnsi="宋体" w:cs="宋体"/>
                <w:color w:val="auto"/>
                <w:sz w:val="18"/>
                <w:szCs w:val="18"/>
                <w:highlight w:val="none"/>
              </w:rPr>
              <w:t>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D412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1001-5000</w:t>
            </w:r>
            <w:r>
              <w:rPr>
                <w:rFonts w:hint="eastAsia" w:hAnsi="宋体" w:cs="宋体"/>
                <w:color w:val="auto"/>
                <w:sz w:val="18"/>
                <w:szCs w:val="18"/>
                <w:highlight w:val="none"/>
              </w:rPr>
              <w:t>万元</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B4A8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5001</w:t>
            </w:r>
            <w:r>
              <w:rPr>
                <w:rFonts w:hint="eastAsia" w:hAnsi="宋体" w:cs="宋体"/>
                <w:color w:val="auto"/>
                <w:sz w:val="18"/>
                <w:szCs w:val="18"/>
                <w:highlight w:val="none"/>
              </w:rPr>
              <w:t>万元</w:t>
            </w:r>
            <w:r>
              <w:rPr>
                <w:rFonts w:hAnsi="宋体" w:cs="宋体"/>
                <w:color w:val="auto"/>
                <w:sz w:val="18"/>
                <w:szCs w:val="18"/>
                <w:highlight w:val="none"/>
              </w:rPr>
              <w:t>-1</w:t>
            </w:r>
            <w:r>
              <w:rPr>
                <w:rFonts w:hint="eastAsia" w:hAnsi="宋体" w:cs="宋体"/>
                <w:color w:val="auto"/>
                <w:sz w:val="18"/>
                <w:szCs w:val="18"/>
                <w:highlight w:val="none"/>
              </w:rPr>
              <w:t>亿元</w:t>
            </w:r>
          </w:p>
        </w:tc>
        <w:tc>
          <w:tcPr>
            <w:tcW w:w="75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DB5CEC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w:t>
            </w:r>
            <w:r>
              <w:rPr>
                <w:rFonts w:hint="eastAsia" w:hAnsi="宋体" w:cs="宋体"/>
                <w:color w:val="auto"/>
                <w:sz w:val="18"/>
                <w:szCs w:val="18"/>
                <w:highlight w:val="none"/>
              </w:rPr>
              <w:t>亿元以上</w:t>
            </w:r>
          </w:p>
        </w:tc>
        <w:tc>
          <w:tcPr>
            <w:tcW w:w="1222" w:type="dxa"/>
            <w:vMerge w:val="continue"/>
            <w:tcBorders>
              <w:bottom w:val="single" w:color="auto" w:sz="4" w:space="0"/>
              <w:right w:val="single" w:color="auto" w:sz="4" w:space="0"/>
            </w:tcBorders>
            <w:shd w:val="clear" w:color="auto" w:fill="auto"/>
            <w:noWrap w:val="0"/>
            <w:vAlign w:val="top"/>
          </w:tcPr>
          <w:p w14:paraId="3F42EB3E">
            <w:pPr>
              <w:widowControl/>
              <w:jc w:val="left"/>
              <w:rPr>
                <w:color w:val="auto"/>
                <w:highlight w:val="none"/>
              </w:rPr>
            </w:pPr>
          </w:p>
        </w:tc>
      </w:tr>
      <w:tr w14:paraId="6DB7FB66">
        <w:tblPrEx>
          <w:tblCellMar>
            <w:top w:w="0" w:type="dxa"/>
            <w:left w:w="15" w:type="dxa"/>
            <w:bottom w:w="0" w:type="dxa"/>
            <w:right w:w="15" w:type="dxa"/>
          </w:tblCellMar>
        </w:tblPrEx>
        <w:trPr>
          <w:trHeight w:val="92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4964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w:t>
            </w:r>
          </w:p>
        </w:tc>
        <w:tc>
          <w:tcPr>
            <w:tcW w:w="246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F1BBB">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投资估算的编制或审核</w:t>
            </w:r>
          </w:p>
        </w:tc>
        <w:tc>
          <w:tcPr>
            <w:tcW w:w="38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DF1C2">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依据建设项目可行性研究方案编制或核对项目投资估算，出具投资估算报告或审核报告</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53AA7">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估算价</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C678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1.3</w:t>
            </w:r>
            <w:r>
              <w:rPr>
                <w:rFonts w:hint="eastAsia" w:hAnsi="宋体" w:cs="宋体"/>
                <w:color w:val="auto"/>
                <w:sz w:val="18"/>
                <w:szCs w:val="18"/>
                <w:highlight w:val="none"/>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E487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1.1</w:t>
            </w:r>
            <w:r>
              <w:rPr>
                <w:rFonts w:hint="eastAsia" w:hAnsi="宋体" w:cs="宋体"/>
                <w:color w:val="auto"/>
                <w:sz w:val="18"/>
                <w:szCs w:val="18"/>
                <w:highlight w:val="none"/>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C684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0.9</w:t>
            </w:r>
            <w:r>
              <w:rPr>
                <w:rFonts w:hint="eastAsia" w:hAnsi="宋体" w:cs="宋体"/>
                <w:color w:val="auto"/>
                <w:sz w:val="18"/>
                <w:szCs w:val="18"/>
                <w:highlight w:val="none"/>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AB8A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0.7</w:t>
            </w:r>
            <w:r>
              <w:rPr>
                <w:rFonts w:hint="eastAsia" w:hAnsi="宋体" w:cs="宋体"/>
                <w:color w:val="auto"/>
                <w:sz w:val="18"/>
                <w:szCs w:val="18"/>
                <w:highlight w:val="none"/>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A4519">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0.5</w:t>
            </w:r>
            <w:r>
              <w:rPr>
                <w:rFonts w:hint="eastAsia" w:hAnsi="宋体" w:cs="宋体"/>
                <w:color w:val="auto"/>
                <w:sz w:val="18"/>
                <w:szCs w:val="18"/>
                <w:highlight w:val="none"/>
              </w:rPr>
              <w:t>‰</w:t>
            </w:r>
          </w:p>
        </w:tc>
        <w:tc>
          <w:tcPr>
            <w:tcW w:w="75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C4E37B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0.4</w:t>
            </w:r>
            <w:r>
              <w:rPr>
                <w:rFonts w:hint="eastAsia" w:hAnsi="宋体" w:cs="宋体"/>
                <w:color w:val="auto"/>
                <w:sz w:val="18"/>
                <w:szCs w:val="18"/>
                <w:highlight w:val="none"/>
              </w:rPr>
              <w:t>‰</w:t>
            </w:r>
          </w:p>
        </w:tc>
        <w:tc>
          <w:tcPr>
            <w:tcW w:w="1222" w:type="dxa"/>
            <w:tcBorders>
              <w:top w:val="single" w:color="auto" w:sz="4" w:space="0"/>
              <w:bottom w:val="single" w:color="auto" w:sz="4" w:space="0"/>
              <w:right w:val="single" w:color="auto" w:sz="4" w:space="0"/>
            </w:tcBorders>
            <w:shd w:val="clear" w:color="auto" w:fill="auto"/>
            <w:noWrap w:val="0"/>
            <w:vAlign w:val="center"/>
          </w:tcPr>
          <w:p w14:paraId="332CB2A5">
            <w:pPr>
              <w:widowControl/>
              <w:jc w:val="center"/>
              <w:rPr>
                <w:color w:val="auto"/>
                <w:highlight w:val="none"/>
              </w:rPr>
            </w:pPr>
            <w:r>
              <w:rPr>
                <w:rFonts w:hint="eastAsia" w:hAnsi="宋体" w:cs="宋体"/>
                <w:color w:val="auto"/>
                <w:sz w:val="18"/>
                <w:szCs w:val="18"/>
                <w:highlight w:val="none"/>
              </w:rPr>
              <w:t>差额定率累进计费</w:t>
            </w:r>
          </w:p>
        </w:tc>
      </w:tr>
      <w:tr w14:paraId="64070686">
        <w:tblPrEx>
          <w:tblCellMar>
            <w:top w:w="0" w:type="dxa"/>
            <w:left w:w="15" w:type="dxa"/>
            <w:bottom w:w="0" w:type="dxa"/>
            <w:right w:w="15" w:type="dxa"/>
          </w:tblCellMar>
        </w:tblPrEx>
        <w:trPr>
          <w:trHeight w:val="853"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B318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p>
        </w:tc>
        <w:tc>
          <w:tcPr>
            <w:tcW w:w="246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B7359">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工程概算的编制或审核</w:t>
            </w:r>
          </w:p>
        </w:tc>
        <w:tc>
          <w:tcPr>
            <w:tcW w:w="38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7F380">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依据初步设计图纸计算或复核工程量，出具工程概算书或审核报告</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BAD66">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概算价</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E043A">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r>
              <w:rPr>
                <w:rFonts w:hint="eastAsia" w:hAnsi="宋体" w:cs="宋体"/>
                <w:color w:val="auto"/>
                <w:sz w:val="18"/>
                <w:szCs w:val="18"/>
                <w:highlight w:val="none"/>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87EB0">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1.8</w:t>
            </w:r>
            <w:r>
              <w:rPr>
                <w:rFonts w:hint="eastAsia" w:hAnsi="宋体" w:cs="宋体"/>
                <w:color w:val="auto"/>
                <w:sz w:val="18"/>
                <w:szCs w:val="18"/>
                <w:highlight w:val="none"/>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5C6B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1.6</w:t>
            </w:r>
            <w:r>
              <w:rPr>
                <w:rFonts w:hint="eastAsia" w:hAnsi="宋体" w:cs="宋体"/>
                <w:color w:val="auto"/>
                <w:sz w:val="18"/>
                <w:szCs w:val="18"/>
                <w:highlight w:val="none"/>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ACB3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1.3</w:t>
            </w:r>
            <w:r>
              <w:rPr>
                <w:rFonts w:hint="eastAsia" w:hAnsi="宋体" w:cs="宋体"/>
                <w:color w:val="auto"/>
                <w:sz w:val="18"/>
                <w:szCs w:val="18"/>
                <w:highlight w:val="none"/>
              </w:rPr>
              <w:t>‰</w:t>
            </w:r>
          </w:p>
        </w:tc>
        <w:tc>
          <w:tcPr>
            <w:tcW w:w="96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42AB2B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828B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1.1</w:t>
            </w:r>
            <w:r>
              <w:rPr>
                <w:rFonts w:hint="eastAsia" w:hAnsi="宋体" w:cs="宋体"/>
                <w:color w:val="auto"/>
                <w:sz w:val="18"/>
                <w:szCs w:val="18"/>
                <w:highlight w:val="none"/>
              </w:rPr>
              <w:t>‰</w:t>
            </w:r>
          </w:p>
        </w:tc>
        <w:tc>
          <w:tcPr>
            <w:tcW w:w="1222" w:type="dxa"/>
            <w:tcBorders>
              <w:top w:val="single" w:color="auto" w:sz="4" w:space="0"/>
              <w:bottom w:val="single" w:color="auto" w:sz="4" w:space="0"/>
              <w:right w:val="single" w:color="auto" w:sz="4" w:space="0"/>
            </w:tcBorders>
            <w:shd w:val="clear" w:color="auto" w:fill="auto"/>
            <w:noWrap w:val="0"/>
            <w:vAlign w:val="center"/>
          </w:tcPr>
          <w:p w14:paraId="45674EA7">
            <w:pPr>
              <w:widowControl/>
              <w:jc w:val="center"/>
              <w:rPr>
                <w:color w:val="auto"/>
                <w:highlight w:val="none"/>
              </w:rPr>
            </w:pPr>
            <w:r>
              <w:rPr>
                <w:rFonts w:hint="eastAsia" w:hAnsi="宋体" w:cs="宋体"/>
                <w:color w:val="auto"/>
                <w:sz w:val="18"/>
                <w:szCs w:val="18"/>
                <w:highlight w:val="none"/>
              </w:rPr>
              <w:t>差额定率累进计费</w:t>
            </w:r>
          </w:p>
        </w:tc>
      </w:tr>
      <w:tr w14:paraId="769CB84A">
        <w:tblPrEx>
          <w:tblCellMar>
            <w:top w:w="0" w:type="dxa"/>
            <w:left w:w="15" w:type="dxa"/>
            <w:bottom w:w="0" w:type="dxa"/>
            <w:right w:w="15" w:type="dxa"/>
          </w:tblCellMar>
        </w:tblPrEx>
        <w:trPr>
          <w:trHeight w:val="998"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00EF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18AAA">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工程预算的编制或审核</w:t>
            </w:r>
          </w:p>
        </w:tc>
        <w:tc>
          <w:tcPr>
            <w:tcW w:w="6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4DBED">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清单计价法</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9C1BE">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单独编制或审核工程量清单</w:t>
            </w:r>
          </w:p>
        </w:tc>
        <w:tc>
          <w:tcPr>
            <w:tcW w:w="38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24762">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依据施工图编制或审核工程量清单，出具工程量清单书或审核报告</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BDD65">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预算造价（预算价、招标控制价）</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254CD">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r>
              <w:rPr>
                <w:rFonts w:hint="eastAsia" w:hAnsi="宋体" w:cs="宋体"/>
                <w:color w:val="auto"/>
                <w:sz w:val="18"/>
                <w:szCs w:val="18"/>
                <w:highlight w:val="none"/>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7F00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2.5</w:t>
            </w:r>
            <w:r>
              <w:rPr>
                <w:rFonts w:hint="eastAsia" w:hAnsi="宋体" w:cs="宋体"/>
                <w:color w:val="auto"/>
                <w:sz w:val="18"/>
                <w:szCs w:val="18"/>
                <w:highlight w:val="none"/>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880D4">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2.4</w:t>
            </w:r>
            <w:r>
              <w:rPr>
                <w:rFonts w:hint="eastAsia" w:hAnsi="宋体" w:cs="宋体"/>
                <w:color w:val="auto"/>
                <w:sz w:val="18"/>
                <w:szCs w:val="18"/>
                <w:highlight w:val="none"/>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908F9">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2.2</w:t>
            </w:r>
            <w:r>
              <w:rPr>
                <w:rFonts w:hint="eastAsia" w:hAnsi="宋体" w:cs="宋体"/>
                <w:color w:val="auto"/>
                <w:sz w:val="18"/>
                <w:szCs w:val="18"/>
                <w:highlight w:val="none"/>
              </w:rPr>
              <w:t>‰</w:t>
            </w:r>
          </w:p>
        </w:tc>
        <w:tc>
          <w:tcPr>
            <w:tcW w:w="96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4D581C81">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r>
              <w:rPr>
                <w:rFonts w:hint="eastAsia" w:hAnsi="宋体" w:cs="宋体"/>
                <w:color w:val="auto"/>
                <w:sz w:val="18"/>
                <w:szCs w:val="18"/>
                <w:highlight w:val="none"/>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69A5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1.8</w:t>
            </w:r>
            <w:r>
              <w:rPr>
                <w:rFonts w:hint="eastAsia" w:hAnsi="宋体" w:cs="宋体"/>
                <w:color w:val="auto"/>
                <w:sz w:val="18"/>
                <w:szCs w:val="18"/>
                <w:highlight w:val="none"/>
              </w:rPr>
              <w:t>‰</w:t>
            </w:r>
          </w:p>
        </w:tc>
        <w:tc>
          <w:tcPr>
            <w:tcW w:w="1222" w:type="dxa"/>
            <w:tcBorders>
              <w:top w:val="single" w:color="auto" w:sz="4" w:space="0"/>
              <w:bottom w:val="single" w:color="auto" w:sz="4" w:space="0"/>
              <w:right w:val="single" w:color="auto" w:sz="4" w:space="0"/>
            </w:tcBorders>
            <w:shd w:val="clear" w:color="auto" w:fill="auto"/>
            <w:noWrap w:val="0"/>
            <w:vAlign w:val="center"/>
          </w:tcPr>
          <w:p w14:paraId="04E1C87D">
            <w:pPr>
              <w:widowControl/>
              <w:jc w:val="center"/>
              <w:rPr>
                <w:color w:val="auto"/>
                <w:highlight w:val="none"/>
              </w:rPr>
            </w:pPr>
            <w:r>
              <w:rPr>
                <w:rFonts w:hint="eastAsia" w:hAnsi="宋体" w:cs="宋体"/>
                <w:color w:val="auto"/>
                <w:sz w:val="18"/>
                <w:szCs w:val="18"/>
                <w:highlight w:val="none"/>
              </w:rPr>
              <w:t>差额定率累进计费</w:t>
            </w:r>
          </w:p>
        </w:tc>
      </w:tr>
      <w:tr w14:paraId="294FF552">
        <w:tblPrEx>
          <w:tblCellMar>
            <w:top w:w="0" w:type="dxa"/>
            <w:left w:w="15" w:type="dxa"/>
            <w:bottom w:w="0" w:type="dxa"/>
            <w:right w:w="15" w:type="dxa"/>
          </w:tblCellMar>
        </w:tblPrEx>
        <w:trPr>
          <w:trHeight w:val="998"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514AD">
            <w:pPr>
              <w:spacing w:line="360" w:lineRule="auto"/>
              <w:rPr>
                <w:rFonts w:hAnsi="宋体" w:cs="宋体"/>
                <w:color w:val="auto"/>
                <w:sz w:val="18"/>
                <w:szCs w:val="18"/>
                <w:highlight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51835">
            <w:pPr>
              <w:spacing w:line="360" w:lineRule="auto"/>
              <w:rPr>
                <w:rFonts w:hAnsi="宋体" w:cs="宋体"/>
                <w:color w:val="auto"/>
                <w:sz w:val="18"/>
                <w:szCs w:val="18"/>
                <w:highlight w:val="none"/>
              </w:rPr>
            </w:pPr>
          </w:p>
        </w:tc>
        <w:tc>
          <w:tcPr>
            <w:tcW w:w="6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970FA">
            <w:pPr>
              <w:spacing w:line="360" w:lineRule="auto"/>
              <w:jc w:val="center"/>
              <w:textAlignment w:val="center"/>
              <w:rPr>
                <w:rFonts w:hAnsi="宋体" w:cs="宋体"/>
                <w:color w:val="auto"/>
                <w:sz w:val="18"/>
                <w:szCs w:val="18"/>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008C4">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单独编制或审核预算造价</w:t>
            </w:r>
          </w:p>
        </w:tc>
        <w:tc>
          <w:tcPr>
            <w:tcW w:w="38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F6EEB">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依据施工图、工程量清单编制或审核工程量清单报价，出具工程报价书或审核报告</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68F87">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预算造价（预算价、招标控制价、投标报价）</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6E80D">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1.8</w:t>
            </w:r>
            <w:r>
              <w:rPr>
                <w:rFonts w:hint="eastAsia" w:hAnsi="宋体" w:cs="宋体"/>
                <w:color w:val="auto"/>
                <w:sz w:val="18"/>
                <w:szCs w:val="18"/>
                <w:highlight w:val="none"/>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35420">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1.6</w:t>
            </w:r>
            <w:r>
              <w:rPr>
                <w:rFonts w:hint="eastAsia" w:hAnsi="宋体" w:cs="宋体"/>
                <w:color w:val="auto"/>
                <w:sz w:val="18"/>
                <w:szCs w:val="18"/>
                <w:highlight w:val="none"/>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3690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1.4</w:t>
            </w:r>
            <w:r>
              <w:rPr>
                <w:rFonts w:hint="eastAsia" w:hAnsi="宋体" w:cs="宋体"/>
                <w:color w:val="auto"/>
                <w:sz w:val="18"/>
                <w:szCs w:val="18"/>
                <w:highlight w:val="none"/>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00BE9">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0E159">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0.9</w:t>
            </w:r>
            <w:r>
              <w:rPr>
                <w:rFonts w:hint="eastAsia" w:hAnsi="宋体" w:cs="宋体"/>
                <w:color w:val="auto"/>
                <w:sz w:val="18"/>
                <w:szCs w:val="18"/>
                <w:highlight w:val="none"/>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10B9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0.8</w:t>
            </w:r>
            <w:r>
              <w:rPr>
                <w:rFonts w:hint="eastAsia" w:hAnsi="宋体" w:cs="宋体"/>
                <w:color w:val="auto"/>
                <w:sz w:val="18"/>
                <w:szCs w:val="18"/>
                <w:highlight w:val="none"/>
              </w:rPr>
              <w:t>‰</w:t>
            </w:r>
          </w:p>
        </w:tc>
        <w:tc>
          <w:tcPr>
            <w:tcW w:w="1222" w:type="dxa"/>
            <w:tcBorders>
              <w:top w:val="single" w:color="auto" w:sz="4" w:space="0"/>
              <w:bottom w:val="single" w:color="auto" w:sz="4" w:space="0"/>
              <w:right w:val="single" w:color="auto" w:sz="4" w:space="0"/>
            </w:tcBorders>
            <w:shd w:val="clear" w:color="auto" w:fill="auto"/>
            <w:noWrap w:val="0"/>
            <w:vAlign w:val="center"/>
          </w:tcPr>
          <w:p w14:paraId="4B0265D4">
            <w:pPr>
              <w:widowControl/>
              <w:jc w:val="center"/>
              <w:rPr>
                <w:color w:val="auto"/>
                <w:highlight w:val="none"/>
              </w:rPr>
            </w:pPr>
            <w:r>
              <w:rPr>
                <w:rFonts w:hint="eastAsia" w:hAnsi="宋体" w:cs="宋体"/>
                <w:color w:val="auto"/>
                <w:sz w:val="18"/>
                <w:szCs w:val="18"/>
                <w:highlight w:val="none"/>
              </w:rPr>
              <w:t>差额定率累进计费</w:t>
            </w:r>
          </w:p>
        </w:tc>
      </w:tr>
      <w:tr w14:paraId="077C82B3">
        <w:tblPrEx>
          <w:tblCellMar>
            <w:top w:w="0" w:type="dxa"/>
            <w:left w:w="15" w:type="dxa"/>
            <w:bottom w:w="0" w:type="dxa"/>
            <w:right w:w="15" w:type="dxa"/>
          </w:tblCellMar>
        </w:tblPrEx>
        <w:trPr>
          <w:trHeight w:val="998"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A8B1C">
            <w:pPr>
              <w:spacing w:line="360" w:lineRule="auto"/>
              <w:rPr>
                <w:rFonts w:hAnsi="宋体" w:cs="宋体"/>
                <w:color w:val="auto"/>
                <w:sz w:val="18"/>
                <w:szCs w:val="18"/>
                <w:highlight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08EE8">
            <w:pPr>
              <w:spacing w:line="360" w:lineRule="auto"/>
              <w:rPr>
                <w:rFonts w:hAnsi="宋体" w:cs="宋体"/>
                <w:color w:val="auto"/>
                <w:sz w:val="18"/>
                <w:szCs w:val="18"/>
                <w:highlight w:val="none"/>
              </w:rPr>
            </w:pP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664E5">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定额计价法</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90143">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编制或审核预算造价</w:t>
            </w:r>
          </w:p>
        </w:tc>
        <w:tc>
          <w:tcPr>
            <w:tcW w:w="38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D66C1">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依据施工图编制或审核工程预算，出具工程预算书或审核报告</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DCA3B">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预算造价（预算价、招标控制价、投标报价）</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EF25C">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3.5</w:t>
            </w:r>
            <w:r>
              <w:rPr>
                <w:rFonts w:hint="eastAsia" w:hAnsi="宋体" w:cs="宋体"/>
                <w:color w:val="auto"/>
                <w:sz w:val="18"/>
                <w:szCs w:val="18"/>
                <w:highlight w:val="none"/>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0D21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r>
              <w:rPr>
                <w:rFonts w:hint="eastAsia" w:hAnsi="宋体" w:cs="宋体"/>
                <w:color w:val="auto"/>
                <w:sz w:val="18"/>
                <w:szCs w:val="18"/>
                <w:highlight w:val="none"/>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0CEF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2.8</w:t>
            </w:r>
            <w:r>
              <w:rPr>
                <w:rFonts w:hint="eastAsia" w:hAnsi="宋体" w:cs="宋体"/>
                <w:color w:val="auto"/>
                <w:sz w:val="18"/>
                <w:szCs w:val="18"/>
                <w:highlight w:val="none"/>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B2AF9">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2.7</w:t>
            </w:r>
            <w:r>
              <w:rPr>
                <w:rFonts w:hint="eastAsia" w:hAnsi="宋体" w:cs="宋体"/>
                <w:color w:val="auto"/>
                <w:sz w:val="18"/>
                <w:szCs w:val="18"/>
                <w:highlight w:val="none"/>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A8BA1">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2.4</w:t>
            </w:r>
            <w:r>
              <w:rPr>
                <w:rFonts w:hint="eastAsia" w:hAnsi="宋体" w:cs="宋体"/>
                <w:color w:val="auto"/>
                <w:sz w:val="18"/>
                <w:szCs w:val="18"/>
                <w:highlight w:val="none"/>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690D1">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r>
              <w:rPr>
                <w:rFonts w:hint="eastAsia" w:hAnsi="宋体" w:cs="宋体"/>
                <w:color w:val="auto"/>
                <w:sz w:val="18"/>
                <w:szCs w:val="18"/>
                <w:highlight w:val="none"/>
              </w:rPr>
              <w:t>‰</w:t>
            </w:r>
          </w:p>
        </w:tc>
        <w:tc>
          <w:tcPr>
            <w:tcW w:w="1222" w:type="dxa"/>
            <w:tcBorders>
              <w:top w:val="single" w:color="auto" w:sz="4" w:space="0"/>
              <w:bottom w:val="single" w:color="auto" w:sz="4" w:space="0"/>
              <w:right w:val="single" w:color="auto" w:sz="4" w:space="0"/>
            </w:tcBorders>
            <w:shd w:val="clear" w:color="auto" w:fill="auto"/>
            <w:noWrap w:val="0"/>
            <w:vAlign w:val="center"/>
          </w:tcPr>
          <w:p w14:paraId="683BDD7E">
            <w:pPr>
              <w:widowControl/>
              <w:jc w:val="center"/>
              <w:rPr>
                <w:color w:val="auto"/>
                <w:highlight w:val="none"/>
              </w:rPr>
            </w:pPr>
            <w:r>
              <w:rPr>
                <w:rFonts w:hint="eastAsia" w:hAnsi="宋体" w:cs="宋体"/>
                <w:color w:val="auto"/>
                <w:sz w:val="18"/>
                <w:szCs w:val="18"/>
                <w:highlight w:val="none"/>
              </w:rPr>
              <w:t>差额定率累进计费</w:t>
            </w:r>
          </w:p>
        </w:tc>
      </w:tr>
      <w:tr w14:paraId="3601D140">
        <w:tblPrEx>
          <w:tblCellMar>
            <w:top w:w="0" w:type="dxa"/>
            <w:left w:w="15" w:type="dxa"/>
            <w:bottom w:w="0" w:type="dxa"/>
            <w:right w:w="15" w:type="dxa"/>
          </w:tblCellMar>
        </w:tblPrEx>
        <w:trPr>
          <w:trHeight w:val="344"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C927A">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4</w:t>
            </w:r>
          </w:p>
        </w:tc>
        <w:tc>
          <w:tcPr>
            <w:tcW w:w="246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0EF70">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工程结算的编制</w:t>
            </w:r>
          </w:p>
        </w:tc>
        <w:tc>
          <w:tcPr>
            <w:tcW w:w="38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F10DD">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依据竣工图等竣工资料编制工程结算，出具工程结算书</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A8C5D">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结算价</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93050">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4.5</w:t>
            </w:r>
            <w:r>
              <w:rPr>
                <w:rFonts w:hint="eastAsia" w:hAnsi="宋体" w:cs="宋体"/>
                <w:color w:val="auto"/>
                <w:sz w:val="18"/>
                <w:szCs w:val="18"/>
                <w:highlight w:val="none"/>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EE86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4</w:t>
            </w:r>
            <w:r>
              <w:rPr>
                <w:rFonts w:hint="eastAsia" w:hAnsi="宋体" w:cs="宋体"/>
                <w:color w:val="auto"/>
                <w:sz w:val="18"/>
                <w:szCs w:val="18"/>
                <w:highlight w:val="none"/>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D61FA">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3.5</w:t>
            </w:r>
            <w:r>
              <w:rPr>
                <w:rFonts w:hint="eastAsia" w:hAnsi="宋体" w:cs="宋体"/>
                <w:color w:val="auto"/>
                <w:sz w:val="18"/>
                <w:szCs w:val="18"/>
                <w:highlight w:val="none"/>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45CC7">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3.3</w:t>
            </w:r>
            <w:r>
              <w:rPr>
                <w:rFonts w:hint="eastAsia" w:hAnsi="宋体" w:cs="宋体"/>
                <w:color w:val="auto"/>
                <w:sz w:val="18"/>
                <w:szCs w:val="18"/>
                <w:highlight w:val="none"/>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209EC">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r>
              <w:rPr>
                <w:rFonts w:hint="eastAsia" w:hAnsi="宋体" w:cs="宋体"/>
                <w:color w:val="auto"/>
                <w:sz w:val="18"/>
                <w:szCs w:val="18"/>
                <w:highlight w:val="none"/>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3097C">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2.5</w:t>
            </w:r>
            <w:r>
              <w:rPr>
                <w:rFonts w:hint="eastAsia" w:hAnsi="宋体" w:cs="宋体"/>
                <w:color w:val="auto"/>
                <w:sz w:val="18"/>
                <w:szCs w:val="18"/>
                <w:highlight w:val="none"/>
              </w:rPr>
              <w:t>‰</w:t>
            </w:r>
          </w:p>
        </w:tc>
        <w:tc>
          <w:tcPr>
            <w:tcW w:w="1222" w:type="dxa"/>
            <w:tcBorders>
              <w:top w:val="single" w:color="auto" w:sz="4" w:space="0"/>
              <w:bottom w:val="single" w:color="auto" w:sz="4" w:space="0"/>
              <w:right w:val="single" w:color="auto" w:sz="4" w:space="0"/>
            </w:tcBorders>
            <w:shd w:val="clear" w:color="auto" w:fill="auto"/>
            <w:noWrap w:val="0"/>
            <w:vAlign w:val="top"/>
          </w:tcPr>
          <w:p w14:paraId="76982717">
            <w:pPr>
              <w:widowControl/>
              <w:jc w:val="center"/>
              <w:rPr>
                <w:color w:val="auto"/>
                <w:highlight w:val="none"/>
              </w:rPr>
            </w:pPr>
            <w:r>
              <w:rPr>
                <w:rFonts w:hint="eastAsia" w:hAnsi="宋体" w:cs="宋体"/>
                <w:color w:val="auto"/>
                <w:sz w:val="18"/>
                <w:szCs w:val="18"/>
                <w:highlight w:val="none"/>
              </w:rPr>
              <w:t>差额定率累进计费</w:t>
            </w:r>
          </w:p>
        </w:tc>
      </w:tr>
      <w:tr w14:paraId="1B0C719F">
        <w:tblPrEx>
          <w:tblCellMar>
            <w:top w:w="0" w:type="dxa"/>
            <w:left w:w="15" w:type="dxa"/>
            <w:bottom w:w="0" w:type="dxa"/>
            <w:right w:w="15" w:type="dxa"/>
          </w:tblCellMar>
        </w:tblPrEx>
        <w:trPr>
          <w:trHeight w:val="589"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78F1A">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w:t>
            </w:r>
          </w:p>
        </w:tc>
        <w:tc>
          <w:tcPr>
            <w:tcW w:w="11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34BC1">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工程结算审核</w:t>
            </w:r>
          </w:p>
        </w:tc>
        <w:tc>
          <w:tcPr>
            <w:tcW w:w="13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06425">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w:t>
            </w:r>
            <w:r>
              <w:rPr>
                <w:rFonts w:hAnsi="宋体" w:cs="宋体"/>
                <w:color w:val="auto"/>
                <w:sz w:val="18"/>
                <w:szCs w:val="18"/>
                <w:highlight w:val="none"/>
              </w:rPr>
              <w:t>1</w:t>
            </w:r>
            <w:r>
              <w:rPr>
                <w:rFonts w:hint="eastAsia" w:hAnsi="宋体" w:cs="宋体"/>
                <w:color w:val="auto"/>
                <w:sz w:val="18"/>
                <w:szCs w:val="18"/>
                <w:highlight w:val="none"/>
              </w:rPr>
              <w:t>）基本收费</w:t>
            </w:r>
          </w:p>
        </w:tc>
        <w:tc>
          <w:tcPr>
            <w:tcW w:w="387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B4A37">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依据竣工图、签证资料、工程结算书等进行审核，出具工程结算审核报告</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1F9B0">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送审结算价</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942F4">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2.8</w:t>
            </w:r>
            <w:r>
              <w:rPr>
                <w:rFonts w:hint="eastAsia" w:hAnsi="宋体" w:cs="宋体"/>
                <w:color w:val="auto"/>
                <w:sz w:val="18"/>
                <w:szCs w:val="18"/>
                <w:highlight w:val="none"/>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AB8D9">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2.5</w:t>
            </w:r>
            <w:r>
              <w:rPr>
                <w:rFonts w:hint="eastAsia" w:hAnsi="宋体" w:cs="宋体"/>
                <w:color w:val="auto"/>
                <w:sz w:val="18"/>
                <w:szCs w:val="18"/>
                <w:highlight w:val="none"/>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2284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2.2</w:t>
            </w:r>
            <w:r>
              <w:rPr>
                <w:rFonts w:hint="eastAsia" w:hAnsi="宋体" w:cs="宋体"/>
                <w:color w:val="auto"/>
                <w:sz w:val="18"/>
                <w:szCs w:val="18"/>
                <w:highlight w:val="none"/>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B5F3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1.6</w:t>
            </w:r>
            <w:r>
              <w:rPr>
                <w:rFonts w:hint="eastAsia" w:hAnsi="宋体" w:cs="宋体"/>
                <w:color w:val="auto"/>
                <w:sz w:val="18"/>
                <w:szCs w:val="18"/>
                <w:highlight w:val="none"/>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A0CD1">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1.3</w:t>
            </w:r>
            <w:r>
              <w:rPr>
                <w:rFonts w:hint="eastAsia" w:hAnsi="宋体" w:cs="宋体"/>
                <w:color w:val="auto"/>
                <w:sz w:val="18"/>
                <w:szCs w:val="18"/>
                <w:highlight w:val="none"/>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940E4">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w:t>
            </w:r>
            <w:r>
              <w:rPr>
                <w:rFonts w:hint="eastAsia" w:hAnsi="宋体" w:cs="宋体"/>
                <w:color w:val="auto"/>
                <w:sz w:val="18"/>
                <w:szCs w:val="18"/>
                <w:highlight w:val="none"/>
              </w:rPr>
              <w:t>‰</w:t>
            </w:r>
          </w:p>
        </w:tc>
        <w:tc>
          <w:tcPr>
            <w:tcW w:w="1222" w:type="dxa"/>
            <w:vMerge w:val="restart"/>
            <w:tcBorders>
              <w:top w:val="single" w:color="auto" w:sz="4" w:space="0"/>
              <w:right w:val="single" w:color="auto" w:sz="4" w:space="0"/>
            </w:tcBorders>
            <w:shd w:val="clear" w:color="auto" w:fill="auto"/>
            <w:noWrap w:val="0"/>
            <w:vAlign w:val="top"/>
          </w:tcPr>
          <w:p w14:paraId="39489AE9">
            <w:pPr>
              <w:widowControl/>
              <w:jc w:val="center"/>
              <w:rPr>
                <w:color w:val="auto"/>
                <w:highlight w:val="none"/>
              </w:rPr>
            </w:pPr>
            <w:r>
              <w:rPr>
                <w:rFonts w:hint="eastAsia" w:hAnsi="宋体" w:cs="宋体"/>
                <w:color w:val="auto"/>
                <w:sz w:val="18"/>
                <w:szCs w:val="18"/>
                <w:highlight w:val="none"/>
              </w:rPr>
              <w:t>差额定率累进计费</w:t>
            </w:r>
          </w:p>
        </w:tc>
      </w:tr>
      <w:tr w14:paraId="3F00F1BA">
        <w:tblPrEx>
          <w:tblCellMar>
            <w:top w:w="0" w:type="dxa"/>
            <w:left w:w="15" w:type="dxa"/>
            <w:bottom w:w="0" w:type="dxa"/>
            <w:right w:w="15" w:type="dxa"/>
          </w:tblCellMar>
        </w:tblPrEx>
        <w:trPr>
          <w:trHeight w:val="504"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4B329">
            <w:pPr>
              <w:spacing w:line="360" w:lineRule="auto"/>
              <w:rPr>
                <w:rFonts w:hAnsi="宋体" w:cs="宋体"/>
                <w:color w:val="auto"/>
                <w:sz w:val="18"/>
                <w:szCs w:val="18"/>
                <w:highlight w:val="none"/>
              </w:rPr>
            </w:pPr>
          </w:p>
        </w:tc>
        <w:tc>
          <w:tcPr>
            <w:tcW w:w="11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91EBB">
            <w:pPr>
              <w:spacing w:line="360" w:lineRule="auto"/>
              <w:rPr>
                <w:rFonts w:hAnsi="宋体" w:cs="宋体"/>
                <w:color w:val="auto"/>
                <w:sz w:val="18"/>
                <w:szCs w:val="18"/>
                <w:highlight w:val="none"/>
              </w:rPr>
            </w:pPr>
          </w:p>
        </w:tc>
        <w:tc>
          <w:tcPr>
            <w:tcW w:w="13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1B853">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w:t>
            </w:r>
            <w:r>
              <w:rPr>
                <w:rFonts w:hAnsi="宋体" w:cs="宋体"/>
                <w:color w:val="auto"/>
                <w:sz w:val="18"/>
                <w:szCs w:val="18"/>
                <w:highlight w:val="none"/>
              </w:rPr>
              <w:t>2</w:t>
            </w:r>
            <w:r>
              <w:rPr>
                <w:rFonts w:hint="eastAsia" w:hAnsi="宋体" w:cs="宋体"/>
                <w:color w:val="auto"/>
                <w:sz w:val="18"/>
                <w:szCs w:val="18"/>
                <w:highlight w:val="none"/>
              </w:rPr>
              <w:t>）效益收费</w:t>
            </w:r>
          </w:p>
        </w:tc>
        <w:tc>
          <w:tcPr>
            <w:tcW w:w="387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E827F">
            <w:pPr>
              <w:spacing w:line="360" w:lineRule="auto"/>
              <w:rPr>
                <w:rFonts w:hAnsi="宋体" w:cs="宋体"/>
                <w:color w:val="auto"/>
                <w:sz w:val="18"/>
                <w:szCs w:val="18"/>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1083B">
            <w:pPr>
              <w:spacing w:line="360" w:lineRule="auto"/>
              <w:jc w:val="center"/>
              <w:textAlignment w:val="center"/>
              <w:rPr>
                <w:rFonts w:hAnsi="宋体" w:cs="宋体"/>
                <w:color w:val="auto"/>
                <w:sz w:val="18"/>
                <w:szCs w:val="18"/>
                <w:highlight w:val="none"/>
              </w:rPr>
            </w:pPr>
            <w:r>
              <w:rPr>
                <w:rFonts w:hAnsi="宋体" w:cs="宋体"/>
                <w:strike w:val="0"/>
                <w:dstrike w:val="0"/>
                <w:color w:val="auto"/>
                <w:sz w:val="18"/>
                <w:szCs w:val="18"/>
                <w:highlight w:val="none"/>
                <w:u w:val="none"/>
                <w:shd w:val="clear" w:fill="auto"/>
              </w:rPr>
              <w:t>|</w:t>
            </w:r>
            <w:r>
              <w:rPr>
                <w:rFonts w:hint="eastAsia" w:hAnsi="宋体" w:cs="宋体"/>
                <w:color w:val="auto"/>
                <w:sz w:val="18"/>
                <w:szCs w:val="18"/>
                <w:highlight w:val="none"/>
              </w:rPr>
              <w:t>核减额</w:t>
            </w:r>
            <w:r>
              <w:rPr>
                <w:rFonts w:hAnsi="宋体" w:cs="宋体"/>
                <w:strike w:val="0"/>
                <w:dstrike w:val="0"/>
                <w:color w:val="auto"/>
                <w:sz w:val="18"/>
                <w:szCs w:val="18"/>
                <w:highlight w:val="none"/>
                <w:u w:val="none"/>
                <w:shd w:val="clear" w:fill="auto"/>
              </w:rPr>
              <w:t>|</w:t>
            </w:r>
            <w:r>
              <w:rPr>
                <w:rFonts w:hAnsi="宋体" w:cs="宋体"/>
                <w:color w:val="auto"/>
                <w:sz w:val="18"/>
                <w:szCs w:val="18"/>
                <w:highlight w:val="none"/>
              </w:rPr>
              <w:t>+</w:t>
            </w:r>
            <w:r>
              <w:rPr>
                <w:rFonts w:hAnsi="宋体" w:cs="宋体"/>
                <w:strike w:val="0"/>
                <w:dstrike w:val="0"/>
                <w:color w:val="auto"/>
                <w:sz w:val="18"/>
                <w:szCs w:val="18"/>
                <w:highlight w:val="none"/>
                <w:u w:val="none"/>
                <w:shd w:val="clear" w:fill="auto"/>
              </w:rPr>
              <w:t>|</w:t>
            </w:r>
            <w:r>
              <w:rPr>
                <w:rFonts w:hint="eastAsia" w:hAnsi="宋体" w:cs="宋体"/>
                <w:color w:val="auto"/>
                <w:sz w:val="18"/>
                <w:szCs w:val="18"/>
                <w:highlight w:val="none"/>
              </w:rPr>
              <w:t>核增额</w:t>
            </w:r>
            <w:r>
              <w:rPr>
                <w:rFonts w:hAnsi="宋体" w:cs="宋体"/>
                <w:strike w:val="0"/>
                <w:dstrike w:val="0"/>
                <w:color w:val="auto"/>
                <w:sz w:val="18"/>
                <w:szCs w:val="18"/>
                <w:highlight w:val="none"/>
                <w:u w:val="none"/>
                <w:shd w:val="clear" w:fill="auto"/>
              </w:rPr>
              <w:t>|</w:t>
            </w:r>
          </w:p>
        </w:tc>
        <w:tc>
          <w:tcPr>
            <w:tcW w:w="5162" w:type="dxa"/>
            <w:gridSpan w:val="6"/>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0152B5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w:t>
            </w:r>
          </w:p>
        </w:tc>
        <w:tc>
          <w:tcPr>
            <w:tcW w:w="1222" w:type="dxa"/>
            <w:vMerge w:val="continue"/>
            <w:tcBorders>
              <w:bottom w:val="single" w:color="auto" w:sz="4" w:space="0"/>
              <w:right w:val="single" w:color="auto" w:sz="4" w:space="0"/>
            </w:tcBorders>
            <w:shd w:val="clear" w:color="auto" w:fill="auto"/>
            <w:noWrap w:val="0"/>
            <w:vAlign w:val="top"/>
          </w:tcPr>
          <w:p w14:paraId="46DD995E">
            <w:pPr>
              <w:widowControl/>
              <w:jc w:val="left"/>
              <w:rPr>
                <w:color w:val="auto"/>
                <w:highlight w:val="none"/>
              </w:rPr>
            </w:pPr>
          </w:p>
        </w:tc>
      </w:tr>
      <w:tr w14:paraId="48411CE2">
        <w:tblPrEx>
          <w:tblCellMar>
            <w:top w:w="0" w:type="dxa"/>
            <w:left w:w="15" w:type="dxa"/>
            <w:bottom w:w="0" w:type="dxa"/>
            <w:right w:w="15" w:type="dxa"/>
          </w:tblCellMar>
        </w:tblPrEx>
        <w:trPr>
          <w:trHeight w:val="1119"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228B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6</w:t>
            </w:r>
          </w:p>
        </w:tc>
        <w:tc>
          <w:tcPr>
            <w:tcW w:w="246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4104E">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施工阶段全过程造价控制</w:t>
            </w:r>
          </w:p>
        </w:tc>
        <w:tc>
          <w:tcPr>
            <w:tcW w:w="38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90C59">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工程量清单编制开始到工程结算审核的造价咨询服务</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789DC">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概算价</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A074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DB20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11</w:t>
            </w:r>
            <w:r>
              <w:rPr>
                <w:rFonts w:hint="eastAsia" w:hAnsi="宋体" w:cs="宋体"/>
                <w:color w:val="auto"/>
                <w:sz w:val="18"/>
                <w:szCs w:val="18"/>
                <w:highlight w:val="none"/>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CC52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w:t>
            </w:r>
            <w:r>
              <w:rPr>
                <w:rFonts w:hint="eastAsia" w:hAnsi="宋体" w:cs="宋体"/>
                <w:color w:val="auto"/>
                <w:sz w:val="18"/>
                <w:szCs w:val="18"/>
                <w:highlight w:val="none"/>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411B4">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9</w:t>
            </w:r>
            <w:r>
              <w:rPr>
                <w:rFonts w:hint="eastAsia" w:hAnsi="宋体" w:cs="宋体"/>
                <w:color w:val="auto"/>
                <w:sz w:val="18"/>
                <w:szCs w:val="18"/>
                <w:highlight w:val="none"/>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9FE3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8</w:t>
            </w:r>
            <w:r>
              <w:rPr>
                <w:rFonts w:hint="eastAsia" w:hAnsi="宋体" w:cs="宋体"/>
                <w:color w:val="auto"/>
                <w:sz w:val="18"/>
                <w:szCs w:val="18"/>
                <w:highlight w:val="none"/>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C882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7</w:t>
            </w:r>
            <w:r>
              <w:rPr>
                <w:rFonts w:hint="eastAsia" w:hAnsi="宋体" w:cs="宋体"/>
                <w:color w:val="auto"/>
                <w:sz w:val="18"/>
                <w:szCs w:val="18"/>
                <w:highlight w:val="none"/>
              </w:rPr>
              <w:t>‰</w:t>
            </w:r>
          </w:p>
        </w:tc>
        <w:tc>
          <w:tcPr>
            <w:tcW w:w="1222" w:type="dxa"/>
            <w:tcBorders>
              <w:top w:val="single" w:color="auto" w:sz="4" w:space="0"/>
              <w:bottom w:val="single" w:color="auto" w:sz="4" w:space="0"/>
              <w:right w:val="single" w:color="auto" w:sz="4" w:space="0"/>
            </w:tcBorders>
            <w:shd w:val="clear" w:color="auto" w:fill="auto"/>
            <w:noWrap w:val="0"/>
            <w:vAlign w:val="center"/>
          </w:tcPr>
          <w:p w14:paraId="4181976A">
            <w:pPr>
              <w:widowControl/>
              <w:jc w:val="center"/>
              <w:rPr>
                <w:color w:val="auto"/>
                <w:highlight w:val="none"/>
              </w:rPr>
            </w:pPr>
            <w:r>
              <w:rPr>
                <w:rFonts w:hint="eastAsia" w:hAnsi="宋体" w:cs="宋体"/>
                <w:color w:val="auto"/>
                <w:sz w:val="18"/>
                <w:szCs w:val="18"/>
                <w:highlight w:val="none"/>
              </w:rPr>
              <w:t>差额定率累进计费，不包括驻场人员的费用</w:t>
            </w:r>
          </w:p>
        </w:tc>
      </w:tr>
      <w:tr w14:paraId="3205DBE8">
        <w:tblPrEx>
          <w:tblCellMar>
            <w:top w:w="0" w:type="dxa"/>
            <w:left w:w="15" w:type="dxa"/>
            <w:bottom w:w="0" w:type="dxa"/>
            <w:right w:w="15" w:type="dxa"/>
          </w:tblCellMar>
        </w:tblPrEx>
        <w:trPr>
          <w:trHeight w:val="1328"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67449">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7</w:t>
            </w:r>
          </w:p>
        </w:tc>
        <w:tc>
          <w:tcPr>
            <w:tcW w:w="246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52554">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工程造价纠纷鉴证</w:t>
            </w:r>
          </w:p>
        </w:tc>
        <w:tc>
          <w:tcPr>
            <w:tcW w:w="38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A42C5">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受委托进行鉴证</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2F402">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鉴证后标的额</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ED057">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7CC1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w:t>
            </w:r>
            <w:r>
              <w:rPr>
                <w:rFonts w:hint="eastAsia" w:hAnsi="宋体" w:cs="宋体"/>
                <w:color w:val="auto"/>
                <w:sz w:val="18"/>
                <w:szCs w:val="18"/>
                <w:highlight w:val="none"/>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3874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8</w:t>
            </w:r>
            <w:r>
              <w:rPr>
                <w:rFonts w:hint="eastAsia" w:hAnsi="宋体" w:cs="宋体"/>
                <w:color w:val="auto"/>
                <w:sz w:val="18"/>
                <w:szCs w:val="18"/>
                <w:highlight w:val="none"/>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F9EE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7</w:t>
            </w:r>
            <w:r>
              <w:rPr>
                <w:rFonts w:hint="eastAsia" w:hAnsi="宋体" w:cs="宋体"/>
                <w:color w:val="auto"/>
                <w:sz w:val="18"/>
                <w:szCs w:val="18"/>
                <w:highlight w:val="none"/>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B038A">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6</w:t>
            </w:r>
            <w:r>
              <w:rPr>
                <w:rFonts w:hint="eastAsia" w:hAnsi="宋体" w:cs="宋体"/>
                <w:color w:val="auto"/>
                <w:sz w:val="18"/>
                <w:szCs w:val="18"/>
                <w:highlight w:val="none"/>
              </w:rPr>
              <w:t>‰</w:t>
            </w:r>
          </w:p>
        </w:tc>
        <w:tc>
          <w:tcPr>
            <w:tcW w:w="75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D211CE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w:t>
            </w:r>
            <w:r>
              <w:rPr>
                <w:rFonts w:hint="eastAsia" w:hAnsi="宋体" w:cs="宋体"/>
                <w:color w:val="auto"/>
                <w:sz w:val="18"/>
                <w:szCs w:val="18"/>
                <w:highlight w:val="none"/>
              </w:rPr>
              <w:t>‰</w:t>
            </w:r>
          </w:p>
        </w:tc>
        <w:tc>
          <w:tcPr>
            <w:tcW w:w="1222" w:type="dxa"/>
            <w:tcBorders>
              <w:top w:val="single" w:color="auto" w:sz="4" w:space="0"/>
              <w:bottom w:val="single" w:color="auto" w:sz="4" w:space="0"/>
              <w:right w:val="single" w:color="auto" w:sz="4" w:space="0"/>
            </w:tcBorders>
            <w:shd w:val="clear" w:color="auto" w:fill="auto"/>
            <w:noWrap w:val="0"/>
            <w:vAlign w:val="center"/>
          </w:tcPr>
          <w:p w14:paraId="7A495DD9">
            <w:pPr>
              <w:widowControl/>
              <w:jc w:val="center"/>
              <w:rPr>
                <w:color w:val="auto"/>
                <w:highlight w:val="none"/>
              </w:rPr>
            </w:pPr>
            <w:r>
              <w:rPr>
                <w:rFonts w:hint="eastAsia" w:hAnsi="宋体" w:cs="宋体"/>
                <w:color w:val="auto"/>
                <w:sz w:val="18"/>
                <w:szCs w:val="18"/>
                <w:highlight w:val="none"/>
              </w:rPr>
              <w:t>差额定率累进计费；原被告单方有造价或双方均无造价</w:t>
            </w:r>
          </w:p>
        </w:tc>
      </w:tr>
      <w:tr w14:paraId="43E5896F">
        <w:tblPrEx>
          <w:tblCellMar>
            <w:top w:w="0" w:type="dxa"/>
            <w:left w:w="15" w:type="dxa"/>
            <w:bottom w:w="0" w:type="dxa"/>
            <w:right w:w="15" w:type="dxa"/>
          </w:tblCellMar>
        </w:tblPrEx>
        <w:trPr>
          <w:trHeight w:val="973"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3D99A">
            <w:pPr>
              <w:spacing w:line="360" w:lineRule="auto"/>
              <w:rPr>
                <w:rFonts w:hAnsi="宋体" w:cs="宋体"/>
                <w:color w:val="auto"/>
                <w:sz w:val="18"/>
                <w:szCs w:val="18"/>
                <w:highlight w:val="none"/>
              </w:rPr>
            </w:pPr>
          </w:p>
        </w:tc>
        <w:tc>
          <w:tcPr>
            <w:tcW w:w="246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04D4B">
            <w:pPr>
              <w:spacing w:line="360" w:lineRule="auto"/>
              <w:rPr>
                <w:rFonts w:hAnsi="宋体" w:cs="宋体"/>
                <w:color w:val="auto"/>
                <w:sz w:val="18"/>
                <w:szCs w:val="18"/>
                <w:highlight w:val="none"/>
              </w:rPr>
            </w:pPr>
          </w:p>
        </w:tc>
        <w:tc>
          <w:tcPr>
            <w:tcW w:w="38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A40F1">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受委托进行鉴证</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9AB52">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争议差额</w:t>
            </w:r>
          </w:p>
        </w:tc>
        <w:tc>
          <w:tcPr>
            <w:tcW w:w="5162" w:type="dxa"/>
            <w:gridSpan w:val="6"/>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8053CB6">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争议差额在</w:t>
            </w:r>
            <w:r>
              <w:rPr>
                <w:rFonts w:hAnsi="宋体" w:cs="宋体"/>
                <w:color w:val="auto"/>
                <w:sz w:val="18"/>
                <w:szCs w:val="18"/>
                <w:highlight w:val="none"/>
              </w:rPr>
              <w:t>1000</w:t>
            </w:r>
            <w:r>
              <w:rPr>
                <w:rFonts w:hint="eastAsia" w:hAnsi="宋体" w:cs="宋体"/>
                <w:color w:val="auto"/>
                <w:sz w:val="18"/>
                <w:szCs w:val="18"/>
                <w:highlight w:val="none"/>
              </w:rPr>
              <w:t>万以下（含</w:t>
            </w:r>
            <w:r>
              <w:rPr>
                <w:rFonts w:hAnsi="宋体" w:cs="宋体"/>
                <w:color w:val="auto"/>
                <w:sz w:val="18"/>
                <w:szCs w:val="18"/>
                <w:highlight w:val="none"/>
              </w:rPr>
              <w:t>1000</w:t>
            </w:r>
            <w:r>
              <w:rPr>
                <w:rFonts w:hint="eastAsia" w:hAnsi="宋体" w:cs="宋体"/>
                <w:color w:val="auto"/>
                <w:sz w:val="18"/>
                <w:szCs w:val="18"/>
                <w:highlight w:val="none"/>
              </w:rPr>
              <w:t>万）按</w:t>
            </w:r>
            <w:r>
              <w:rPr>
                <w:rFonts w:hAnsi="宋体" w:cs="宋体"/>
                <w:color w:val="auto"/>
                <w:sz w:val="18"/>
                <w:szCs w:val="18"/>
                <w:highlight w:val="none"/>
              </w:rPr>
              <w:t>5%</w:t>
            </w:r>
            <w:r>
              <w:rPr>
                <w:rFonts w:hint="eastAsia" w:hAnsi="宋体" w:cs="宋体"/>
                <w:color w:val="auto"/>
                <w:sz w:val="18"/>
                <w:szCs w:val="18"/>
                <w:highlight w:val="none"/>
              </w:rPr>
              <w:t>收取，</w:t>
            </w:r>
            <w:r>
              <w:rPr>
                <w:rFonts w:hAnsi="宋体" w:cs="宋体"/>
                <w:color w:val="auto"/>
                <w:sz w:val="18"/>
                <w:szCs w:val="18"/>
                <w:highlight w:val="none"/>
              </w:rPr>
              <w:t>1000</w:t>
            </w:r>
            <w:r>
              <w:rPr>
                <w:rFonts w:hint="eastAsia" w:hAnsi="宋体" w:cs="宋体"/>
                <w:color w:val="auto"/>
                <w:sz w:val="18"/>
                <w:szCs w:val="18"/>
                <w:highlight w:val="none"/>
              </w:rPr>
              <w:t>万以上按</w:t>
            </w:r>
            <w:r>
              <w:rPr>
                <w:rFonts w:hAnsi="宋体" w:cs="宋体"/>
                <w:color w:val="auto"/>
                <w:sz w:val="18"/>
                <w:szCs w:val="18"/>
                <w:highlight w:val="none"/>
              </w:rPr>
              <w:t>4%</w:t>
            </w:r>
            <w:r>
              <w:rPr>
                <w:rFonts w:hint="eastAsia" w:hAnsi="宋体" w:cs="宋体"/>
                <w:color w:val="auto"/>
                <w:sz w:val="18"/>
                <w:szCs w:val="18"/>
                <w:highlight w:val="none"/>
              </w:rPr>
              <w:t>收取</w:t>
            </w:r>
          </w:p>
        </w:tc>
        <w:tc>
          <w:tcPr>
            <w:tcW w:w="1222" w:type="dxa"/>
            <w:tcBorders>
              <w:top w:val="single" w:color="auto" w:sz="4" w:space="0"/>
              <w:bottom w:val="single" w:color="auto" w:sz="4" w:space="0"/>
              <w:right w:val="single" w:color="auto" w:sz="4" w:space="0"/>
            </w:tcBorders>
            <w:shd w:val="clear" w:color="auto" w:fill="auto"/>
            <w:noWrap w:val="0"/>
            <w:vAlign w:val="center"/>
          </w:tcPr>
          <w:p w14:paraId="036BF78E">
            <w:pPr>
              <w:widowControl/>
              <w:jc w:val="center"/>
              <w:rPr>
                <w:color w:val="auto"/>
                <w:highlight w:val="none"/>
              </w:rPr>
            </w:pPr>
            <w:r>
              <w:rPr>
                <w:rFonts w:hint="eastAsia" w:hAnsi="宋体" w:cs="宋体"/>
                <w:color w:val="auto"/>
                <w:sz w:val="18"/>
                <w:szCs w:val="18"/>
                <w:highlight w:val="none"/>
              </w:rPr>
              <w:t>双方各有造价</w:t>
            </w:r>
          </w:p>
        </w:tc>
      </w:tr>
      <w:tr w14:paraId="7E5DD9BB">
        <w:tblPrEx>
          <w:tblCellMar>
            <w:top w:w="0" w:type="dxa"/>
            <w:left w:w="15" w:type="dxa"/>
            <w:bottom w:w="0" w:type="dxa"/>
            <w:right w:w="15" w:type="dxa"/>
          </w:tblCellMar>
        </w:tblPrEx>
        <w:trPr>
          <w:trHeight w:val="1736"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4B22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8</w:t>
            </w:r>
          </w:p>
        </w:tc>
        <w:tc>
          <w:tcPr>
            <w:tcW w:w="246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F523E">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钢筋及预埋件计算</w:t>
            </w:r>
          </w:p>
        </w:tc>
        <w:tc>
          <w:tcPr>
            <w:tcW w:w="38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11874">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依据施工图纸、设计标准和施工操作规程计算或审核钢筋（或铁件）重量，提供完整的钢筋（或铁件）重量计算明细表、汇总表或审核报告</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042AB">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按实际钢筋使用量</w:t>
            </w:r>
          </w:p>
        </w:tc>
        <w:tc>
          <w:tcPr>
            <w:tcW w:w="5162"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22C2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吨</w:t>
            </w:r>
          </w:p>
        </w:tc>
        <w:tc>
          <w:tcPr>
            <w:tcW w:w="1222" w:type="dxa"/>
            <w:tcBorders>
              <w:top w:val="single" w:color="auto" w:sz="4" w:space="0"/>
              <w:bottom w:val="single" w:color="auto" w:sz="4" w:space="0"/>
              <w:right w:val="single" w:color="auto" w:sz="4" w:space="0"/>
            </w:tcBorders>
            <w:shd w:val="clear" w:color="auto" w:fill="auto"/>
            <w:noWrap w:val="0"/>
            <w:vAlign w:val="top"/>
          </w:tcPr>
          <w:p w14:paraId="48D0B8B7">
            <w:pPr>
              <w:widowControl/>
              <w:jc w:val="left"/>
              <w:rPr>
                <w:color w:val="auto"/>
                <w:highlight w:val="none"/>
              </w:rPr>
            </w:pPr>
          </w:p>
        </w:tc>
      </w:tr>
      <w:tr w14:paraId="3E249930">
        <w:tblPrEx>
          <w:tblCellMar>
            <w:top w:w="0" w:type="dxa"/>
            <w:left w:w="15" w:type="dxa"/>
            <w:bottom w:w="0" w:type="dxa"/>
            <w:right w:w="15" w:type="dxa"/>
          </w:tblCellMar>
        </w:tblPrEx>
        <w:trPr>
          <w:trHeight w:val="1847" w:hRule="atLeast"/>
        </w:trPr>
        <w:tc>
          <w:tcPr>
            <w:tcW w:w="45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5C57B2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9</w:t>
            </w:r>
          </w:p>
        </w:tc>
        <w:tc>
          <w:tcPr>
            <w:tcW w:w="2467" w:type="dxa"/>
            <w:gridSpan w:val="4"/>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EC9E1A5">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工程造价咨询工日收费标准</w:t>
            </w:r>
          </w:p>
        </w:tc>
        <w:tc>
          <w:tcPr>
            <w:tcW w:w="387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6129250">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受委托派出专业人员从事工程造价咨询服务</w:t>
            </w:r>
          </w:p>
        </w:tc>
        <w:tc>
          <w:tcPr>
            <w:tcW w:w="182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040C51F">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工时</w:t>
            </w:r>
          </w:p>
        </w:tc>
        <w:tc>
          <w:tcPr>
            <w:tcW w:w="5162" w:type="dxa"/>
            <w:gridSpan w:val="6"/>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7FB8B3C">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具有高级工程师职称的注册造价师：</w:t>
            </w:r>
            <w:r>
              <w:rPr>
                <w:rFonts w:hAnsi="宋体" w:cs="宋体"/>
                <w:color w:val="auto"/>
                <w:sz w:val="18"/>
                <w:szCs w:val="18"/>
                <w:highlight w:val="none"/>
              </w:rPr>
              <w:t>190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人·工作小时；注册造价师或高级职称的咨询人员：</w:t>
            </w:r>
            <w:r>
              <w:rPr>
                <w:rFonts w:hAnsi="宋体" w:cs="宋体"/>
                <w:color w:val="auto"/>
                <w:sz w:val="18"/>
                <w:szCs w:val="18"/>
                <w:highlight w:val="none"/>
              </w:rPr>
              <w:t>150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人·工作小时；工程造价中级资格专业人员：</w:t>
            </w:r>
            <w:r>
              <w:rPr>
                <w:rFonts w:hAnsi="宋体" w:cs="宋体"/>
                <w:color w:val="auto"/>
                <w:sz w:val="18"/>
                <w:szCs w:val="18"/>
                <w:highlight w:val="none"/>
              </w:rPr>
              <w:t>100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人·工作小时；工程造价初级资格专业人员：</w:t>
            </w:r>
            <w:r>
              <w:rPr>
                <w:rFonts w:hAnsi="宋体" w:cs="宋体"/>
                <w:color w:val="auto"/>
                <w:sz w:val="18"/>
                <w:szCs w:val="18"/>
                <w:highlight w:val="none"/>
              </w:rPr>
              <w:t>60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w:t>
            </w:r>
          </w:p>
        </w:tc>
        <w:tc>
          <w:tcPr>
            <w:tcW w:w="1222" w:type="dxa"/>
            <w:tcBorders>
              <w:top w:val="single" w:color="auto" w:sz="4" w:space="0"/>
              <w:bottom w:val="single" w:color="auto" w:sz="4" w:space="0"/>
              <w:right w:val="single" w:color="auto" w:sz="4" w:space="0"/>
            </w:tcBorders>
            <w:shd w:val="clear" w:color="auto" w:fill="auto"/>
            <w:noWrap w:val="0"/>
            <w:vAlign w:val="top"/>
          </w:tcPr>
          <w:p w14:paraId="539ED150">
            <w:pPr>
              <w:widowControl/>
              <w:jc w:val="left"/>
              <w:rPr>
                <w:color w:val="auto"/>
                <w:highlight w:val="none"/>
              </w:rPr>
            </w:pPr>
          </w:p>
        </w:tc>
      </w:tr>
    </w:tbl>
    <w:p w14:paraId="06501338">
      <w:pPr>
        <w:spacing w:line="360" w:lineRule="auto"/>
        <w:ind w:firstLine="360"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注：</w:t>
      </w:r>
      <w:r>
        <w:rPr>
          <w:rFonts w:hAnsi="宋体" w:cs="宋体"/>
          <w:b/>
          <w:bCs/>
          <w:color w:val="auto"/>
          <w:sz w:val="18"/>
          <w:szCs w:val="18"/>
          <w:highlight w:val="none"/>
        </w:rPr>
        <w:t xml:space="preserve"> </w:t>
      </w:r>
    </w:p>
    <w:p w14:paraId="5B247440">
      <w:pPr>
        <w:spacing w:line="360" w:lineRule="auto"/>
        <w:ind w:firstLine="360" w:firstLineChars="200"/>
        <w:textAlignment w:val="center"/>
        <w:rPr>
          <w:rFonts w:hAnsi="宋体" w:cs="宋体"/>
          <w:b/>
          <w:bCs/>
          <w:color w:val="auto"/>
          <w:sz w:val="18"/>
          <w:szCs w:val="18"/>
          <w:highlight w:val="none"/>
        </w:rPr>
      </w:pPr>
      <w:r>
        <w:rPr>
          <w:rFonts w:hAnsi="宋体" w:cs="宋体"/>
          <w:b/>
          <w:bCs/>
          <w:color w:val="auto"/>
          <w:sz w:val="18"/>
          <w:szCs w:val="18"/>
          <w:highlight w:val="none"/>
        </w:rPr>
        <w:t>1.</w:t>
      </w:r>
      <w:r>
        <w:rPr>
          <w:rFonts w:hint="eastAsia"/>
          <w:color w:val="auto"/>
          <w:highlight w:val="none"/>
        </w:rPr>
        <w:t xml:space="preserve"> </w:t>
      </w:r>
      <w:r>
        <w:rPr>
          <w:rFonts w:hint="eastAsia" w:hAnsi="宋体" w:cs="宋体"/>
          <w:b/>
          <w:bCs/>
          <w:color w:val="auto"/>
          <w:sz w:val="18"/>
          <w:szCs w:val="18"/>
          <w:highlight w:val="none"/>
        </w:rPr>
        <w:t>本计费标准均未考虑各咨询人的投标下浮</w:t>
      </w:r>
      <w:r>
        <w:rPr>
          <w:rFonts w:hint="eastAsia"/>
          <w:color w:val="auto"/>
          <w:highlight w:val="none"/>
          <w:lang w:eastAsia="zh-CN"/>
        </w:rPr>
        <w:t>，</w:t>
      </w:r>
      <w:r>
        <w:rPr>
          <w:rFonts w:hint="eastAsia" w:hAnsi="宋体" w:cs="宋体"/>
          <w:b/>
          <w:bCs/>
          <w:color w:val="auto"/>
          <w:sz w:val="18"/>
          <w:szCs w:val="18"/>
          <w:highlight w:val="none"/>
        </w:rPr>
        <w:t>具体的咨询服务费用按本计费标准固定下浮</w:t>
      </w:r>
      <w:r>
        <w:rPr>
          <w:rFonts w:hint="eastAsia" w:hAnsi="宋体" w:cs="宋体"/>
          <w:b/>
          <w:bCs/>
          <w:color w:val="auto"/>
          <w:sz w:val="18"/>
          <w:szCs w:val="18"/>
          <w:highlight w:val="none"/>
          <w:lang w:val="en-US" w:eastAsia="zh-CN"/>
        </w:rPr>
        <w:t>2</w:t>
      </w:r>
      <w:r>
        <w:rPr>
          <w:rFonts w:hint="eastAsia" w:hAnsi="宋体" w:cs="宋体"/>
          <w:b/>
          <w:bCs/>
          <w:color w:val="auto"/>
          <w:sz w:val="18"/>
          <w:szCs w:val="18"/>
          <w:highlight w:val="none"/>
        </w:rPr>
        <w:t>0%</w:t>
      </w:r>
      <w:r>
        <w:rPr>
          <w:rFonts w:hint="eastAsia" w:hAnsi="宋体" w:cs="宋体"/>
          <w:b/>
          <w:bCs/>
          <w:color w:val="auto"/>
          <w:sz w:val="18"/>
          <w:szCs w:val="18"/>
          <w:highlight w:val="none"/>
          <w:lang w:val="zh-CN"/>
        </w:rPr>
        <w:t>计算</w:t>
      </w:r>
      <w:r>
        <w:rPr>
          <w:rFonts w:hint="eastAsia" w:hAnsi="宋体" w:cs="宋体"/>
          <w:b/>
          <w:bCs/>
          <w:color w:val="auto"/>
          <w:sz w:val="18"/>
          <w:szCs w:val="18"/>
          <w:highlight w:val="none"/>
        </w:rPr>
        <w:t>。</w:t>
      </w:r>
    </w:p>
    <w:p w14:paraId="0AFB045D">
      <w:pPr>
        <w:spacing w:line="360" w:lineRule="auto"/>
        <w:ind w:firstLine="360" w:firstLineChars="200"/>
        <w:textAlignment w:val="center"/>
        <w:rPr>
          <w:rFonts w:hAnsi="宋体" w:cs="宋体"/>
          <w:b/>
          <w:bCs/>
          <w:color w:val="auto"/>
          <w:sz w:val="18"/>
          <w:szCs w:val="18"/>
          <w:highlight w:val="none"/>
        </w:rPr>
      </w:pPr>
      <w:r>
        <w:rPr>
          <w:rFonts w:hAnsi="宋体" w:cs="宋体"/>
          <w:b/>
          <w:bCs/>
          <w:color w:val="auto"/>
          <w:sz w:val="18"/>
          <w:szCs w:val="18"/>
          <w:highlight w:val="none"/>
        </w:rPr>
        <w:t>2.</w:t>
      </w:r>
      <w:r>
        <w:rPr>
          <w:rFonts w:hint="eastAsia"/>
          <w:color w:val="auto"/>
          <w:highlight w:val="none"/>
        </w:rPr>
        <w:t xml:space="preserve"> </w:t>
      </w:r>
      <w:r>
        <w:rPr>
          <w:rFonts w:hint="eastAsia" w:hAnsi="宋体" w:cs="宋体"/>
          <w:b/>
          <w:bCs/>
          <w:color w:val="auto"/>
          <w:sz w:val="18"/>
          <w:szCs w:val="18"/>
          <w:highlight w:val="none"/>
        </w:rPr>
        <w:t>计算咨询服务费用时，以单独出具的成果文件为独立核算单位。对一个造价咨询合同含有多个成果文件的，计算咨询服务费时，以单独出具的成果文件为独立核算单位。每项单独成果文件出具后，可</w:t>
      </w:r>
      <w:r>
        <w:rPr>
          <w:rFonts w:hint="eastAsia" w:hAnsi="宋体" w:cs="宋体"/>
          <w:b/>
          <w:bCs/>
          <w:strike w:val="0"/>
          <w:dstrike w:val="0"/>
          <w:color w:val="auto"/>
          <w:sz w:val="18"/>
          <w:szCs w:val="18"/>
          <w:highlight w:val="none"/>
          <w:u w:val="none"/>
          <w:shd w:val="clear" w:fill="auto"/>
        </w:rPr>
        <w:t>根据该项</w:t>
      </w:r>
      <w:r>
        <w:rPr>
          <w:rFonts w:hint="eastAsia" w:hAnsi="宋体" w:cs="宋体"/>
          <w:b/>
          <w:bCs/>
          <w:color w:val="auto"/>
          <w:sz w:val="18"/>
          <w:szCs w:val="18"/>
          <w:highlight w:val="none"/>
        </w:rPr>
        <w:t>单独</w:t>
      </w:r>
      <w:r>
        <w:rPr>
          <w:rFonts w:hint="eastAsia" w:hAnsi="宋体" w:cs="宋体"/>
          <w:b/>
          <w:bCs/>
          <w:strike w:val="0"/>
          <w:dstrike w:val="0"/>
          <w:color w:val="auto"/>
          <w:sz w:val="18"/>
          <w:szCs w:val="18"/>
          <w:highlight w:val="none"/>
          <w:u w:val="none"/>
          <w:shd w:val="clear" w:fill="auto"/>
        </w:rPr>
        <w:t>成果文件</w:t>
      </w:r>
      <w:r>
        <w:rPr>
          <w:rFonts w:hint="eastAsia" w:hAnsi="宋体" w:cs="宋体"/>
          <w:b/>
          <w:bCs/>
          <w:color w:val="auto"/>
          <w:sz w:val="18"/>
          <w:szCs w:val="18"/>
          <w:highlight w:val="none"/>
        </w:rPr>
        <w:t>。</w:t>
      </w:r>
    </w:p>
    <w:p w14:paraId="7C5592EC">
      <w:pPr>
        <w:spacing w:line="360" w:lineRule="auto"/>
        <w:ind w:firstLine="360" w:firstLineChars="200"/>
        <w:textAlignment w:val="center"/>
        <w:rPr>
          <w:rFonts w:hAnsi="宋体" w:cs="宋体"/>
          <w:b/>
          <w:bCs/>
          <w:color w:val="auto"/>
          <w:sz w:val="18"/>
          <w:szCs w:val="18"/>
          <w:highlight w:val="none"/>
        </w:rPr>
      </w:pPr>
      <w:r>
        <w:rPr>
          <w:rFonts w:hAnsi="宋体" w:cs="宋体"/>
          <w:b/>
          <w:bCs/>
          <w:color w:val="auto"/>
          <w:sz w:val="18"/>
          <w:szCs w:val="18"/>
          <w:highlight w:val="none"/>
        </w:rPr>
        <w:t>3.</w:t>
      </w:r>
      <w:r>
        <w:rPr>
          <w:rFonts w:hint="eastAsia" w:hAnsi="宋体" w:cs="宋体"/>
          <w:b/>
          <w:bCs/>
          <w:color w:val="auto"/>
          <w:sz w:val="18"/>
          <w:szCs w:val="18"/>
          <w:highlight w:val="none"/>
        </w:rPr>
        <w:t xml:space="preserve"> 公路、港口及水利工程预算、招标控制价（含工程量清单）的编制费按定额计价法收费标准计费。公路、港口及水利工程预算、招标控制价（含工程量清单）的审核按照编制费乘以</w:t>
      </w:r>
      <w:r>
        <w:rPr>
          <w:rFonts w:hAnsi="宋体" w:cs="宋体"/>
          <w:b/>
          <w:bCs/>
          <w:color w:val="auto"/>
          <w:sz w:val="18"/>
          <w:szCs w:val="18"/>
          <w:highlight w:val="none"/>
        </w:rPr>
        <w:t>0.9</w:t>
      </w:r>
      <w:r>
        <w:rPr>
          <w:rFonts w:hAnsi="宋体" w:cs="宋体"/>
          <w:b/>
          <w:bCs/>
          <w:strike w:val="0"/>
          <w:dstrike w:val="0"/>
          <w:color w:val="auto"/>
          <w:sz w:val="18"/>
          <w:szCs w:val="18"/>
          <w:highlight w:val="none"/>
          <w:u w:val="none"/>
          <w:shd w:val="clear" w:fill="auto"/>
        </w:rPr>
        <w:t xml:space="preserve"> </w:t>
      </w:r>
      <w:r>
        <w:rPr>
          <w:rFonts w:hint="eastAsia" w:hAnsi="宋体" w:cs="宋体"/>
          <w:b/>
          <w:bCs/>
          <w:color w:val="auto"/>
          <w:sz w:val="18"/>
          <w:szCs w:val="18"/>
          <w:highlight w:val="none"/>
        </w:rPr>
        <w:t>系数计算。</w:t>
      </w:r>
    </w:p>
    <w:p w14:paraId="2E5CE052">
      <w:pPr>
        <w:spacing w:line="360" w:lineRule="auto"/>
        <w:ind w:firstLine="360" w:firstLineChars="200"/>
        <w:textAlignment w:val="center"/>
        <w:rPr>
          <w:rFonts w:hAnsi="宋体" w:cs="宋体"/>
          <w:b/>
          <w:bCs/>
          <w:color w:val="auto"/>
          <w:sz w:val="18"/>
          <w:szCs w:val="18"/>
          <w:highlight w:val="none"/>
        </w:rPr>
      </w:pPr>
      <w:r>
        <w:rPr>
          <w:rFonts w:hAnsi="宋体" w:cs="宋体"/>
          <w:b/>
          <w:bCs/>
          <w:color w:val="auto"/>
          <w:sz w:val="18"/>
          <w:szCs w:val="18"/>
          <w:highlight w:val="none"/>
        </w:rPr>
        <w:t>4.</w:t>
      </w:r>
      <w:r>
        <w:rPr>
          <w:rFonts w:hint="eastAsia" w:hAnsi="宋体" w:cs="宋体"/>
          <w:b/>
          <w:bCs/>
          <w:color w:val="auto"/>
          <w:sz w:val="18"/>
          <w:szCs w:val="18"/>
          <w:highlight w:val="none"/>
        </w:rPr>
        <w:t xml:space="preserve"> 建设工程项目（包括房屋建筑、市政工程、园林绿化、安装工程、城市轨道交通）招标控制价（含工程量清单）编制费按单独编制预算收费标准的60%</w:t>
      </w:r>
      <w:r>
        <w:rPr>
          <w:rFonts w:hint="eastAsia" w:hAnsi="宋体" w:cs="宋体"/>
          <w:b/>
          <w:bCs/>
          <w:strike w:val="0"/>
          <w:dstrike w:val="0"/>
          <w:color w:val="auto"/>
          <w:sz w:val="18"/>
          <w:szCs w:val="18"/>
          <w:highlight w:val="none"/>
          <w:u w:val="none"/>
          <w:shd w:val="clear" w:fill="auto"/>
        </w:rPr>
        <w:t>和</w:t>
      </w:r>
      <w:r>
        <w:rPr>
          <w:rFonts w:hint="eastAsia" w:hAnsi="宋体" w:cs="宋体"/>
          <w:b/>
          <w:bCs/>
          <w:color w:val="auto"/>
          <w:sz w:val="18"/>
          <w:szCs w:val="18"/>
          <w:highlight w:val="none"/>
        </w:rPr>
        <w:t>单独编制工程量清单收费标准两项相加计算，其他情况预算编制费按照定额计价法收费标准计费。上述工程招标控制价（含工程量清单）、预算审核费按照相对应的编制费乘以0.9的系数计算。另外房屋建筑抽钢筋费另计。</w:t>
      </w:r>
    </w:p>
    <w:p w14:paraId="2AA7DCEA">
      <w:pPr>
        <w:spacing w:line="360" w:lineRule="auto"/>
        <w:ind w:firstLine="360"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5.</w:t>
      </w:r>
      <w:r>
        <w:rPr>
          <w:rFonts w:hint="eastAsia"/>
          <w:color w:val="auto"/>
          <w:highlight w:val="none"/>
        </w:rPr>
        <w:t xml:space="preserve"> </w:t>
      </w:r>
      <w:r>
        <w:rPr>
          <w:rFonts w:hint="eastAsia" w:hAnsi="宋体" w:cs="宋体"/>
          <w:b/>
          <w:bCs/>
          <w:color w:val="auto"/>
          <w:sz w:val="18"/>
          <w:szCs w:val="18"/>
          <w:highlight w:val="none"/>
        </w:rPr>
        <w:t>实行驻场审核项目的收费标准按本计费标准乘以1.20</w:t>
      </w:r>
      <w:r>
        <w:rPr>
          <w:rFonts w:hint="eastAsia" w:hAnsi="宋体" w:cs="宋体"/>
          <w:b/>
          <w:bCs/>
          <w:strike w:val="0"/>
          <w:dstrike w:val="0"/>
          <w:color w:val="auto"/>
          <w:sz w:val="18"/>
          <w:szCs w:val="18"/>
          <w:highlight w:val="none"/>
          <w:u w:val="none"/>
          <w:shd w:val="clear" w:fill="auto"/>
        </w:rPr>
        <w:t xml:space="preserve"> </w:t>
      </w:r>
      <w:r>
        <w:rPr>
          <w:rFonts w:hint="eastAsia" w:hAnsi="宋体" w:cs="宋体"/>
          <w:b/>
          <w:bCs/>
          <w:color w:val="auto"/>
          <w:sz w:val="18"/>
          <w:szCs w:val="18"/>
          <w:highlight w:val="none"/>
        </w:rPr>
        <w:t>系数计算。</w:t>
      </w:r>
    </w:p>
    <w:p w14:paraId="618FA6DF">
      <w:pPr>
        <w:spacing w:line="360" w:lineRule="auto"/>
        <w:ind w:firstLine="360"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6.</w:t>
      </w:r>
      <w:r>
        <w:rPr>
          <w:rFonts w:hint="eastAsia"/>
          <w:color w:val="auto"/>
          <w:highlight w:val="none"/>
        </w:rPr>
        <w:t xml:space="preserve"> </w:t>
      </w:r>
      <w:r>
        <w:rPr>
          <w:rFonts w:hint="eastAsia" w:hAnsi="宋体" w:cs="宋体"/>
          <w:b/>
          <w:bCs/>
          <w:color w:val="auto"/>
          <w:sz w:val="18"/>
          <w:szCs w:val="18"/>
          <w:highlight w:val="none"/>
        </w:rPr>
        <w:t>除房屋建筑外，以上编审预、结算的咨询费用已含编审项目</w:t>
      </w:r>
      <w:r>
        <w:rPr>
          <w:rFonts w:hint="eastAsia" w:hAnsi="宋体" w:cs="宋体"/>
          <w:b/>
          <w:bCs/>
          <w:strike w:val="0"/>
          <w:dstrike w:val="0"/>
          <w:color w:val="auto"/>
          <w:sz w:val="18"/>
          <w:szCs w:val="18"/>
          <w:highlight w:val="none"/>
          <w:u w:val="none"/>
          <w:shd w:val="clear" w:fill="auto"/>
        </w:rPr>
        <w:t>的</w:t>
      </w:r>
      <w:r>
        <w:rPr>
          <w:rFonts w:hint="eastAsia" w:hAnsi="宋体" w:cs="宋体"/>
          <w:b/>
          <w:bCs/>
          <w:color w:val="auto"/>
          <w:sz w:val="18"/>
          <w:szCs w:val="18"/>
          <w:highlight w:val="none"/>
        </w:rPr>
        <w:t>抽审钢筋实际用量的费用。</w:t>
      </w:r>
    </w:p>
    <w:p w14:paraId="5A6C1773">
      <w:pPr>
        <w:spacing w:line="360" w:lineRule="auto"/>
        <w:ind w:firstLine="360"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7.</w:t>
      </w:r>
      <w:r>
        <w:rPr>
          <w:rFonts w:hint="eastAsia" w:ascii="仿宋" w:eastAsia="仿宋" w:cs="仿宋"/>
          <w:color w:val="auto"/>
          <w:kern w:val="0"/>
          <w:sz w:val="28"/>
          <w:szCs w:val="28"/>
          <w:highlight w:val="none"/>
        </w:rPr>
        <w:t xml:space="preserve"> </w:t>
      </w:r>
      <w:r>
        <w:rPr>
          <w:rFonts w:hint="eastAsia" w:hAnsi="宋体" w:cs="宋体"/>
          <w:b/>
          <w:bCs/>
          <w:color w:val="auto"/>
          <w:sz w:val="18"/>
          <w:szCs w:val="18"/>
          <w:highlight w:val="none"/>
        </w:rPr>
        <w:t>根据委托，同一咨询人对同一项目的概算及预算（最高报价值）进行编制或审核的，则按以下原则计算：</w:t>
      </w:r>
    </w:p>
    <w:p w14:paraId="241A66DF">
      <w:pPr>
        <w:spacing w:line="360" w:lineRule="auto"/>
        <w:ind w:firstLine="360"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w:t>
      </w:r>
      <w:r>
        <w:rPr>
          <w:rFonts w:hAnsi="宋体" w:cs="宋体"/>
          <w:b/>
          <w:bCs/>
          <w:color w:val="auto"/>
          <w:sz w:val="18"/>
          <w:szCs w:val="18"/>
          <w:highlight w:val="none"/>
        </w:rPr>
        <w:t>1</w:t>
      </w:r>
      <w:r>
        <w:rPr>
          <w:rFonts w:hint="eastAsia" w:hAnsi="宋体" w:cs="宋体"/>
          <w:b/>
          <w:bCs/>
          <w:color w:val="auto"/>
          <w:sz w:val="18"/>
          <w:szCs w:val="18"/>
          <w:highlight w:val="none"/>
        </w:rPr>
        <w:t>）如第一次委托编审概算，第二次委托编审预算（最高报价值）的，则第一次委托的费用按其相应类型及对应的成果文件计算费用，第二次委托的费用按其第二次委托相应类型及对应的成果文件计算</w:t>
      </w:r>
      <w:r>
        <w:rPr>
          <w:rFonts w:hAnsi="宋体" w:cs="宋体"/>
          <w:b/>
          <w:bCs/>
          <w:color w:val="auto"/>
          <w:sz w:val="18"/>
          <w:szCs w:val="18"/>
          <w:highlight w:val="none"/>
        </w:rPr>
        <w:t>60%</w:t>
      </w:r>
      <w:r>
        <w:rPr>
          <w:rFonts w:hint="eastAsia" w:hAnsi="宋体" w:cs="宋体"/>
          <w:b/>
          <w:bCs/>
          <w:color w:val="auto"/>
          <w:sz w:val="18"/>
          <w:szCs w:val="18"/>
          <w:highlight w:val="none"/>
        </w:rPr>
        <w:t>的咨询费用。</w:t>
      </w:r>
    </w:p>
    <w:p w14:paraId="239A6233">
      <w:pPr>
        <w:spacing w:line="360" w:lineRule="auto"/>
        <w:ind w:firstLine="360"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w:t>
      </w:r>
      <w:r>
        <w:rPr>
          <w:rFonts w:hAnsi="宋体" w:cs="宋体"/>
          <w:b/>
          <w:bCs/>
          <w:color w:val="auto"/>
          <w:sz w:val="18"/>
          <w:szCs w:val="18"/>
          <w:highlight w:val="none"/>
        </w:rPr>
        <w:t>2</w:t>
      </w:r>
      <w:r>
        <w:rPr>
          <w:rFonts w:hint="eastAsia" w:hAnsi="宋体" w:cs="宋体"/>
          <w:b/>
          <w:bCs/>
          <w:color w:val="auto"/>
          <w:sz w:val="18"/>
          <w:szCs w:val="18"/>
          <w:highlight w:val="none"/>
        </w:rPr>
        <w:t>）如同时委托编审概算及预算（</w:t>
      </w:r>
      <w:r>
        <w:rPr>
          <w:rFonts w:hint="eastAsia" w:hAnsi="宋体" w:cs="宋体"/>
          <w:b/>
          <w:bCs/>
          <w:strike w:val="0"/>
          <w:dstrike w:val="0"/>
          <w:color w:val="auto"/>
          <w:sz w:val="18"/>
          <w:szCs w:val="18"/>
          <w:highlight w:val="none"/>
          <w:u w:val="none"/>
          <w:shd w:val="clear" w:fill="auto"/>
        </w:rPr>
        <w:t>投</w:t>
      </w:r>
      <w:r>
        <w:rPr>
          <w:rFonts w:hint="eastAsia" w:hAnsi="宋体" w:cs="宋体"/>
          <w:b/>
          <w:bCs/>
          <w:color w:val="auto"/>
          <w:sz w:val="18"/>
          <w:szCs w:val="18"/>
          <w:highlight w:val="none"/>
        </w:rPr>
        <w:t>标控制价）的，则按预算咨询费的</w:t>
      </w:r>
      <w:r>
        <w:rPr>
          <w:rFonts w:hAnsi="宋体" w:cs="宋体"/>
          <w:b/>
          <w:bCs/>
          <w:color w:val="auto"/>
          <w:sz w:val="18"/>
          <w:szCs w:val="18"/>
          <w:highlight w:val="none"/>
        </w:rPr>
        <w:t>120%</w:t>
      </w:r>
      <w:r>
        <w:rPr>
          <w:rFonts w:hint="eastAsia" w:hAnsi="宋体" w:cs="宋体"/>
          <w:b/>
          <w:bCs/>
          <w:strike w:val="0"/>
          <w:dstrike w:val="0"/>
          <w:color w:val="auto"/>
          <w:sz w:val="18"/>
          <w:szCs w:val="18"/>
          <w:highlight w:val="none"/>
          <w:u w:val="none"/>
          <w:shd w:val="clear" w:fill="auto"/>
        </w:rPr>
        <w:t>的</w:t>
      </w:r>
      <w:r>
        <w:rPr>
          <w:rFonts w:hint="eastAsia" w:hAnsi="宋体" w:cs="宋体"/>
          <w:b/>
          <w:bCs/>
          <w:color w:val="auto"/>
          <w:sz w:val="18"/>
          <w:szCs w:val="18"/>
          <w:highlight w:val="none"/>
        </w:rPr>
        <w:t>计算。</w:t>
      </w:r>
    </w:p>
    <w:p w14:paraId="6F5E565C">
      <w:pPr>
        <w:spacing w:line="360" w:lineRule="auto"/>
        <w:ind w:firstLine="360"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（3）如第二次委托编审预算（最高报价值）的范围与第一次委托编审概算的范围明显不同的，则第二次委托与第一次委托不同范围部分按其相应类型及对应的造价计算额外的咨询费用。</w:t>
      </w:r>
    </w:p>
    <w:p w14:paraId="35816893">
      <w:pPr>
        <w:spacing w:line="360" w:lineRule="auto"/>
        <w:ind w:firstLine="360"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8.</w:t>
      </w:r>
      <w:r>
        <w:rPr>
          <w:rFonts w:hint="eastAsia"/>
          <w:color w:val="auto"/>
          <w:highlight w:val="none"/>
        </w:rPr>
        <w:t xml:space="preserve"> </w:t>
      </w:r>
      <w:r>
        <w:rPr>
          <w:rFonts w:hint="eastAsia" w:hAnsi="宋体" w:cs="宋体"/>
          <w:b/>
          <w:bCs/>
          <w:color w:val="auto"/>
          <w:sz w:val="18"/>
          <w:szCs w:val="18"/>
          <w:highlight w:val="none"/>
        </w:rPr>
        <w:t>属于结算二次审核的项目，咨询费按本计费标准乘以1.20</w:t>
      </w:r>
      <w:r>
        <w:rPr>
          <w:rFonts w:hint="eastAsia" w:hAnsi="宋体" w:cs="宋体"/>
          <w:b/>
          <w:bCs/>
          <w:strike w:val="0"/>
          <w:dstrike w:val="0"/>
          <w:color w:val="auto"/>
          <w:sz w:val="18"/>
          <w:szCs w:val="18"/>
          <w:highlight w:val="none"/>
          <w:u w:val="none"/>
          <w:shd w:val="clear" w:fill="auto"/>
        </w:rPr>
        <w:t xml:space="preserve"> </w:t>
      </w:r>
      <w:r>
        <w:rPr>
          <w:rFonts w:hint="eastAsia" w:hAnsi="宋体" w:cs="宋体"/>
          <w:b/>
          <w:bCs/>
          <w:color w:val="auto"/>
          <w:sz w:val="18"/>
          <w:szCs w:val="18"/>
          <w:highlight w:val="none"/>
        </w:rPr>
        <w:t>系数计算。</w:t>
      </w:r>
    </w:p>
    <w:p w14:paraId="3714194B">
      <w:pPr>
        <w:spacing w:line="360" w:lineRule="auto"/>
        <w:ind w:firstLine="360"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9.</w:t>
      </w:r>
      <w:r>
        <w:rPr>
          <w:rFonts w:hint="eastAsia"/>
          <w:color w:val="auto"/>
          <w:highlight w:val="none"/>
        </w:rPr>
        <w:t xml:space="preserve"> </w:t>
      </w:r>
      <w:r>
        <w:rPr>
          <w:rFonts w:hint="eastAsia" w:hAnsi="宋体" w:cs="宋体"/>
          <w:b/>
          <w:bCs/>
          <w:color w:val="auto"/>
          <w:sz w:val="18"/>
          <w:szCs w:val="18"/>
          <w:highlight w:val="none"/>
        </w:rPr>
        <w:t>变更工程预算编制可委托原项目预算编制单位编制，咨询费参照编制预算的计费标准计算。</w:t>
      </w:r>
    </w:p>
    <w:p w14:paraId="30D3BCFD">
      <w:pPr>
        <w:spacing w:line="360" w:lineRule="auto"/>
        <w:ind w:firstLine="360"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10.</w:t>
      </w:r>
      <w:r>
        <w:rPr>
          <w:rFonts w:hint="eastAsia"/>
          <w:color w:val="auto"/>
          <w:highlight w:val="none"/>
        </w:rPr>
        <w:t xml:space="preserve"> </w:t>
      </w:r>
      <w:r>
        <w:rPr>
          <w:rFonts w:hint="eastAsia" w:hAnsi="宋体" w:cs="宋体"/>
          <w:b/>
          <w:bCs/>
          <w:color w:val="auto"/>
          <w:sz w:val="18"/>
          <w:szCs w:val="18"/>
          <w:highlight w:val="none"/>
        </w:rPr>
        <w:t>工程结算审核，基本收费基数为审定金额。审定金额的</w:t>
      </w:r>
      <w:r>
        <w:rPr>
          <w:rFonts w:hint="eastAsia" w:hAnsi="宋体" w:cs="宋体"/>
          <w:b/>
          <w:bCs/>
          <w:strike w:val="0"/>
          <w:dstrike w:val="0"/>
          <w:color w:val="auto"/>
          <w:sz w:val="18"/>
          <w:szCs w:val="18"/>
          <w:highlight w:val="none"/>
          <w:u w:val="none"/>
          <w:shd w:val="clear" w:fill="auto"/>
        </w:rPr>
        <w:t>意</w:t>
      </w:r>
      <w:r>
        <w:rPr>
          <w:rFonts w:hint="eastAsia" w:hAnsi="宋体" w:cs="宋体"/>
          <w:b/>
          <w:bCs/>
          <w:color w:val="auto"/>
          <w:sz w:val="18"/>
          <w:szCs w:val="18"/>
          <w:highlight w:val="none"/>
        </w:rPr>
        <w:t>义：总价合同方式条件下，审定金额指审定的变更增加工程造价及变更减少工程造价绝对值之和；单价合同方式条件下，审定金额指审定工程结算总造价。另外</w:t>
      </w:r>
      <w:r>
        <w:rPr>
          <w:rFonts w:hint="eastAsia" w:hAnsi="宋体" w:cs="宋体"/>
          <w:b/>
          <w:bCs/>
          <w:strike w:val="0"/>
          <w:dstrike w:val="0"/>
          <w:color w:val="auto"/>
          <w:sz w:val="18"/>
          <w:szCs w:val="18"/>
          <w:highlight w:val="none"/>
          <w:u w:val="none"/>
          <w:shd w:val="clear" w:fill="auto"/>
        </w:rPr>
        <w:t>,</w:t>
      </w:r>
      <w:r>
        <w:rPr>
          <w:rFonts w:hint="eastAsia" w:hAnsi="宋体" w:cs="宋体"/>
          <w:b/>
          <w:bCs/>
          <w:color w:val="auto"/>
          <w:sz w:val="18"/>
          <w:szCs w:val="18"/>
          <w:highlight w:val="none"/>
        </w:rPr>
        <w:t>效益收费的基数为净核减（或净核增）。</w:t>
      </w:r>
    </w:p>
    <w:p w14:paraId="5C749424">
      <w:pPr>
        <w:spacing w:line="360" w:lineRule="auto"/>
        <w:ind w:firstLine="360"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11.</w:t>
      </w:r>
      <w:r>
        <w:rPr>
          <w:rFonts w:hint="eastAsia"/>
          <w:color w:val="auto"/>
          <w:highlight w:val="none"/>
        </w:rPr>
        <w:t xml:space="preserve"> </w:t>
      </w:r>
      <w:r>
        <w:rPr>
          <w:rFonts w:hint="eastAsia" w:hAnsi="宋体" w:cs="宋体"/>
          <w:b/>
          <w:bCs/>
          <w:color w:val="auto"/>
          <w:sz w:val="18"/>
          <w:szCs w:val="18"/>
          <w:highlight w:val="none"/>
        </w:rPr>
        <w:t>工程结算编制，收费基数“结算价”的定义</w:t>
      </w:r>
      <w:r>
        <w:rPr>
          <w:rFonts w:hint="eastAsia" w:hAnsi="宋体" w:cs="宋体"/>
          <w:b/>
          <w:bCs/>
          <w:strike w:val="0"/>
          <w:dstrike w:val="0"/>
          <w:color w:val="auto"/>
          <w:sz w:val="18"/>
          <w:szCs w:val="18"/>
          <w:highlight w:val="none"/>
          <w:u w:val="none"/>
          <w:shd w:val="clear" w:fill="auto"/>
        </w:rPr>
        <w:t>,</w:t>
      </w:r>
      <w:r>
        <w:rPr>
          <w:rFonts w:hint="eastAsia" w:hAnsi="宋体" w:cs="宋体"/>
          <w:b/>
          <w:bCs/>
          <w:color w:val="auto"/>
          <w:sz w:val="18"/>
          <w:szCs w:val="18"/>
          <w:highlight w:val="none"/>
        </w:rPr>
        <w:t>在总价合同方式条件下，“结算价”指编制的变更增加工程造价及变更减少工程造价绝对值之和；单价合同方式条件下，“结算价”指编制的工程结算总造价。</w:t>
      </w:r>
    </w:p>
    <w:p w14:paraId="0E29AED7">
      <w:pPr>
        <w:spacing w:line="360" w:lineRule="auto"/>
        <w:ind w:firstLine="360"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12.</w:t>
      </w:r>
      <w:r>
        <w:rPr>
          <w:rFonts w:hint="eastAsia"/>
          <w:color w:val="auto"/>
          <w:highlight w:val="none"/>
        </w:rPr>
        <w:t xml:space="preserve"> </w:t>
      </w:r>
      <w:r>
        <w:rPr>
          <w:rFonts w:hint="eastAsia" w:hAnsi="宋体" w:cs="宋体"/>
          <w:b/>
          <w:bCs/>
          <w:color w:val="auto"/>
          <w:sz w:val="18"/>
          <w:szCs w:val="18"/>
          <w:highlight w:val="none"/>
        </w:rPr>
        <w:t>收费不足1600</w:t>
      </w:r>
      <w:r>
        <w:rPr>
          <w:rFonts w:hint="eastAsia" w:hAnsi="宋体" w:cs="宋体"/>
          <w:b/>
          <w:bCs/>
          <w:strike w:val="0"/>
          <w:dstrike w:val="0"/>
          <w:color w:val="auto"/>
          <w:sz w:val="18"/>
          <w:szCs w:val="18"/>
          <w:highlight w:val="none"/>
          <w:u w:val="none"/>
          <w:shd w:val="clear" w:fill="auto"/>
        </w:rPr>
        <w:t xml:space="preserve"> </w:t>
      </w:r>
      <w:r>
        <w:rPr>
          <w:rFonts w:hint="eastAsia" w:hAnsi="宋体" w:cs="宋体"/>
          <w:b/>
          <w:bCs/>
          <w:color w:val="auto"/>
          <w:sz w:val="18"/>
          <w:szCs w:val="18"/>
          <w:highlight w:val="none"/>
        </w:rPr>
        <w:t>元的，按1600</w:t>
      </w:r>
      <w:r>
        <w:rPr>
          <w:rFonts w:hint="eastAsia" w:hAnsi="宋体" w:cs="宋体"/>
          <w:b/>
          <w:bCs/>
          <w:strike w:val="0"/>
          <w:dstrike w:val="0"/>
          <w:color w:val="auto"/>
          <w:sz w:val="18"/>
          <w:szCs w:val="18"/>
          <w:highlight w:val="none"/>
          <w:u w:val="none"/>
          <w:shd w:val="clear" w:fill="auto"/>
        </w:rPr>
        <w:t xml:space="preserve"> </w:t>
      </w:r>
      <w:r>
        <w:rPr>
          <w:rFonts w:hint="eastAsia" w:hAnsi="宋体" w:cs="宋体"/>
          <w:b/>
          <w:bCs/>
          <w:color w:val="auto"/>
          <w:sz w:val="18"/>
          <w:szCs w:val="18"/>
          <w:highlight w:val="none"/>
        </w:rPr>
        <w:t>元计收。</w:t>
      </w:r>
    </w:p>
    <w:p w14:paraId="1C71661E">
      <w:pPr>
        <w:spacing w:line="360" w:lineRule="auto"/>
        <w:ind w:firstLine="360"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13.</w:t>
      </w:r>
      <w:r>
        <w:rPr>
          <w:rFonts w:hint="eastAsia"/>
          <w:color w:val="auto"/>
          <w:highlight w:val="none"/>
        </w:rPr>
        <w:t xml:space="preserve"> </w:t>
      </w:r>
      <w:r>
        <w:rPr>
          <w:rFonts w:hint="eastAsia" w:hAnsi="宋体" w:cs="宋体"/>
          <w:b/>
          <w:bCs/>
          <w:color w:val="auto"/>
          <w:sz w:val="18"/>
          <w:szCs w:val="18"/>
          <w:highlight w:val="none"/>
        </w:rPr>
        <w:t>特殊项目的收费标准另行商议。</w:t>
      </w:r>
    </w:p>
    <w:p w14:paraId="3CB8AF3C">
      <w:pPr>
        <w:spacing w:line="360" w:lineRule="auto"/>
        <w:ind w:firstLine="360"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14.</w:t>
      </w:r>
      <w:r>
        <w:rPr>
          <w:rFonts w:hint="eastAsia"/>
          <w:color w:val="auto"/>
          <w:highlight w:val="none"/>
        </w:rPr>
        <w:t xml:space="preserve"> </w:t>
      </w:r>
      <w:r>
        <w:rPr>
          <w:rFonts w:hint="eastAsia" w:hAnsi="宋体" w:cs="宋体"/>
          <w:b/>
          <w:bCs/>
          <w:color w:val="auto"/>
          <w:sz w:val="18"/>
          <w:szCs w:val="18"/>
          <w:highlight w:val="none"/>
        </w:rPr>
        <w:t>按以上内容计算咨询费后，不另行计算其他一切费用（如现场查勘、外出考察、外聘专家等）。</w:t>
      </w:r>
    </w:p>
    <w:p w14:paraId="790CFF1D">
      <w:pPr>
        <w:spacing w:line="360" w:lineRule="auto"/>
        <w:ind w:firstLine="360" w:firstLineChars="200"/>
        <w:textAlignment w:val="center"/>
        <w:rPr>
          <w:color w:val="auto"/>
          <w:highlight w:val="none"/>
        </w:rPr>
      </w:pPr>
      <w:r>
        <w:rPr>
          <w:rFonts w:hint="eastAsia" w:hAnsi="宋体" w:cs="宋体"/>
          <w:b/>
          <w:bCs/>
          <w:color w:val="auto"/>
          <w:sz w:val="18"/>
          <w:szCs w:val="18"/>
          <w:highlight w:val="none"/>
        </w:rPr>
        <w:t>15.</w:t>
      </w:r>
      <w:r>
        <w:rPr>
          <w:rFonts w:hint="eastAsia"/>
          <w:color w:val="auto"/>
          <w:highlight w:val="none"/>
        </w:rPr>
        <w:t xml:space="preserve"> </w:t>
      </w:r>
      <w:r>
        <w:rPr>
          <w:rFonts w:hint="eastAsia" w:hAnsi="宋体" w:cs="宋体"/>
          <w:b/>
          <w:bCs/>
          <w:color w:val="auto"/>
          <w:sz w:val="18"/>
          <w:szCs w:val="18"/>
          <w:highlight w:val="none"/>
        </w:rPr>
        <w:t>以上咨询费为含税金额。</w:t>
      </w:r>
    </w:p>
    <w:p w14:paraId="44B167F4">
      <w:pPr>
        <w:pStyle w:val="22"/>
        <w:rPr>
          <w:color w:val="auto"/>
          <w:highlight w:val="none"/>
        </w:rPr>
      </w:pPr>
    </w:p>
    <w:p w14:paraId="466E6774">
      <w:pPr>
        <w:pStyle w:val="4"/>
        <w:rPr>
          <w:rFonts w:hint="eastAsia"/>
          <w:highlight w:val="none"/>
          <w:lang w:eastAsia="zh-CN"/>
        </w:rPr>
      </w:pPr>
    </w:p>
    <w:sectPr>
      <w:pgSz w:w="16840" w:h="11907" w:orient="landscape"/>
      <w:pgMar w:top="1418" w:right="1135" w:bottom="1134" w:left="851"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E6850B6-6514-4726-9FDF-3CF6E7E2A38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AF8E5C46-A0CA-4CD2-9A15-5BB023B0BA92}"/>
  </w:font>
  <w:font w:name="方正书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34343">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839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wps:spPr>
                    <wps:txbx>
                      <w:txbxContent>
                        <w:p w14:paraId="29060980">
                          <w:pPr>
                            <w:pStyle w:val="2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6" o:spid="_x0000_s1026" o:spt="202" type="#_x0000_t202" style="position:absolute;left:0pt;margin-top:0pt;height:144pt;width:85.7pt;mso-position-horizontal:center;mso-position-horizontal-relative:margin;z-index:251659264;mso-width-relative:page;mso-height-relative:page;" filled="f" stroked="f" coordsize="21600,21600" o:gfxdata="UEsDBAoAAAAAAIdO4kAAAAAAAAAAAAAAAAAEAAAAZHJzL1BLAwQUAAAACACHTuJAMbH6pNM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xsfqk0wAAAAUBAAAPAAAAAAAAAAEAIAAAACIAAABkcnMvZG93bnJl&#10;di54bWxQSwECFAAUAAAACACHTuJARcufEMkBAACQAwAADgAAAAAAAAABACAAAAAiAQAAZHJzL2Uy&#10;b0RvYy54bWxQSwUGAAAAAAYABgBZAQAAXQUAAAAA&#10;">
              <v:fill on="f" focussize="0,0"/>
              <v:stroke on="f"/>
              <v:imagedata o:title=""/>
              <o:lock v:ext="edit" aspectratio="f"/>
              <v:textbox inset="0mm,0mm,0mm,0mm" style="mso-fit-shape-to-text:t;">
                <w:txbxContent>
                  <w:p w14:paraId="29060980">
                    <w:pPr>
                      <w:pStyle w:val="2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83FDE">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062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wps:spPr>
                    <wps:txbx>
                      <w:txbxContent>
                        <w:p w14:paraId="27A9644C">
                          <w:pPr>
                            <w:pStyle w:val="2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0288;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YIEizSAAAABQEAAA8AAAAAAAAAAQAgAAAAIgAAAGRycy9kb3ducmV2&#10;LnhtbFBLAQIUABQAAAAIAIdO4kB4R5WwyQEAAJADAAAOAAAAAAAAAAEAIAAAACEBAABkcnMvZTJv&#10;RG9jLnhtbFBLBQYAAAAABgAGAFkBAABcBQAAAAA=&#10;">
              <v:fill on="f" focussize="0,0"/>
              <v:stroke on="f"/>
              <v:imagedata o:title=""/>
              <o:lock v:ext="edit" aspectratio="f"/>
              <v:textbox inset="0mm,0mm,0mm,0mm" style="mso-fit-shape-to-text:t;">
                <w:txbxContent>
                  <w:p w14:paraId="27A9644C">
                    <w:pPr>
                      <w:pStyle w:val="2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B3286">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0535D">
                          <w:pPr>
                            <w:pStyle w:val="21"/>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A60535D">
                    <w:pPr>
                      <w:pStyle w:val="21"/>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50ACB">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25407">
    <w:pPr>
      <w:pStyle w:val="23"/>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DA138">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017CF">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0F838"/>
    <w:multiLevelType w:val="singleLevel"/>
    <w:tmpl w:val="A6B0F838"/>
    <w:lvl w:ilvl="0" w:tentative="0">
      <w:start w:val="2"/>
      <w:numFmt w:val="decimal"/>
      <w:suff w:val="nothing"/>
      <w:lvlText w:val="%1、"/>
      <w:lvlJc w:val="left"/>
    </w:lvl>
  </w:abstractNum>
  <w:abstractNum w:abstractNumId="1">
    <w:nsid w:val="02BA4E6F"/>
    <w:multiLevelType w:val="multilevel"/>
    <w:tmpl w:val="02BA4E6F"/>
    <w:lvl w:ilvl="0" w:tentative="0">
      <w:start w:val="1"/>
      <w:numFmt w:val="bullet"/>
      <w:pStyle w:val="64"/>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23D16E76"/>
    <w:multiLevelType w:val="singleLevel"/>
    <w:tmpl w:val="23D16E76"/>
    <w:lvl w:ilvl="0" w:tentative="0">
      <w:start w:val="5"/>
      <w:numFmt w:val="chineseCounting"/>
      <w:suff w:val="nothing"/>
      <w:lvlText w:val="%1、"/>
      <w:lvlJc w:val="left"/>
      <w:rPr>
        <w:rFonts w:hint="eastAsia"/>
      </w:rPr>
    </w:lvl>
  </w:abstractNum>
  <w:abstractNum w:abstractNumId="3">
    <w:nsid w:val="6099A159"/>
    <w:multiLevelType w:val="singleLevel"/>
    <w:tmpl w:val="6099A159"/>
    <w:lvl w:ilvl="0" w:tentative="0">
      <w:start w:val="1"/>
      <w:numFmt w:val="decimal"/>
      <w:suff w:val="nothing"/>
      <w:lvlText w:val="%1、"/>
      <w:lvlJc w:val="left"/>
      <w:rPr>
        <w:rFonts w:cs="Times New Roman"/>
      </w:rPr>
    </w:lvl>
  </w:abstractNum>
  <w:abstractNum w:abstractNumId="4">
    <w:nsid w:val="68B40337"/>
    <w:multiLevelType w:val="multilevel"/>
    <w:tmpl w:val="68B40337"/>
    <w:lvl w:ilvl="0" w:tentative="0">
      <w:start w:val="1"/>
      <w:numFmt w:val="japaneseCounting"/>
      <w:pStyle w:val="55"/>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7198B43F"/>
    <w:multiLevelType w:val="singleLevel"/>
    <w:tmpl w:val="7198B43F"/>
    <w:lvl w:ilvl="0" w:tentative="0">
      <w:start w:val="1"/>
      <w:numFmt w:val="decimal"/>
      <w:suff w:val="nothing"/>
      <w:lvlText w:val="%1、"/>
      <w:lvlJc w:val="left"/>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TrueTypeFonts/>
  <w:saveSubsetFonts/>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2ZmNmZDA2ZDZjNjk0NzZmN2I0MmM5OWVlZDdkNjMifQ=="/>
  </w:docVars>
  <w:rsids>
    <w:rsidRoot w:val="00BD5ED0"/>
    <w:rsid w:val="00005B73"/>
    <w:rsid w:val="00012BFA"/>
    <w:rsid w:val="000164E6"/>
    <w:rsid w:val="00035F8F"/>
    <w:rsid w:val="00045122"/>
    <w:rsid w:val="000503CE"/>
    <w:rsid w:val="000535B8"/>
    <w:rsid w:val="00055419"/>
    <w:rsid w:val="000616CD"/>
    <w:rsid w:val="00063F50"/>
    <w:rsid w:val="000679B7"/>
    <w:rsid w:val="00074383"/>
    <w:rsid w:val="00077653"/>
    <w:rsid w:val="000930FE"/>
    <w:rsid w:val="000941B8"/>
    <w:rsid w:val="0009582E"/>
    <w:rsid w:val="000A0257"/>
    <w:rsid w:val="000A0DFB"/>
    <w:rsid w:val="000B72CC"/>
    <w:rsid w:val="000B7B60"/>
    <w:rsid w:val="000B7FE4"/>
    <w:rsid w:val="000C0834"/>
    <w:rsid w:val="000C2B30"/>
    <w:rsid w:val="000C2D95"/>
    <w:rsid w:val="000C327D"/>
    <w:rsid w:val="000C4264"/>
    <w:rsid w:val="000C5B5B"/>
    <w:rsid w:val="000D2A43"/>
    <w:rsid w:val="000D2D57"/>
    <w:rsid w:val="000D4735"/>
    <w:rsid w:val="000D6353"/>
    <w:rsid w:val="000E7D7C"/>
    <w:rsid w:val="000F2427"/>
    <w:rsid w:val="000F2FC6"/>
    <w:rsid w:val="000F4060"/>
    <w:rsid w:val="000F575A"/>
    <w:rsid w:val="00101319"/>
    <w:rsid w:val="0010706E"/>
    <w:rsid w:val="00115B17"/>
    <w:rsid w:val="0012090D"/>
    <w:rsid w:val="00124D32"/>
    <w:rsid w:val="001264A1"/>
    <w:rsid w:val="00131E92"/>
    <w:rsid w:val="00136549"/>
    <w:rsid w:val="00137A41"/>
    <w:rsid w:val="00143273"/>
    <w:rsid w:val="0014433E"/>
    <w:rsid w:val="0014722B"/>
    <w:rsid w:val="0014729E"/>
    <w:rsid w:val="00152F22"/>
    <w:rsid w:val="00153F65"/>
    <w:rsid w:val="00156EF1"/>
    <w:rsid w:val="00157353"/>
    <w:rsid w:val="0016352B"/>
    <w:rsid w:val="0016665E"/>
    <w:rsid w:val="00170C97"/>
    <w:rsid w:val="0017142D"/>
    <w:rsid w:val="00175372"/>
    <w:rsid w:val="00182942"/>
    <w:rsid w:val="001844CB"/>
    <w:rsid w:val="00191009"/>
    <w:rsid w:val="00191E64"/>
    <w:rsid w:val="001925E5"/>
    <w:rsid w:val="00193F95"/>
    <w:rsid w:val="00196FE0"/>
    <w:rsid w:val="001A2C93"/>
    <w:rsid w:val="001A45EA"/>
    <w:rsid w:val="001A5AE5"/>
    <w:rsid w:val="001B09E7"/>
    <w:rsid w:val="001B6B51"/>
    <w:rsid w:val="001C22FD"/>
    <w:rsid w:val="001C279B"/>
    <w:rsid w:val="001C6622"/>
    <w:rsid w:val="001D0EAA"/>
    <w:rsid w:val="001D0FE8"/>
    <w:rsid w:val="001D6AB7"/>
    <w:rsid w:val="001E5549"/>
    <w:rsid w:val="001E7603"/>
    <w:rsid w:val="001F7CAF"/>
    <w:rsid w:val="002000CE"/>
    <w:rsid w:val="002008CC"/>
    <w:rsid w:val="00204419"/>
    <w:rsid w:val="00205F12"/>
    <w:rsid w:val="00210BCF"/>
    <w:rsid w:val="00215784"/>
    <w:rsid w:val="00215DF7"/>
    <w:rsid w:val="00220762"/>
    <w:rsid w:val="0022330A"/>
    <w:rsid w:val="00227F02"/>
    <w:rsid w:val="00231A8A"/>
    <w:rsid w:val="002355B4"/>
    <w:rsid w:val="00235976"/>
    <w:rsid w:val="002368CE"/>
    <w:rsid w:val="00236E54"/>
    <w:rsid w:val="00237233"/>
    <w:rsid w:val="00243458"/>
    <w:rsid w:val="00244C63"/>
    <w:rsid w:val="002502B9"/>
    <w:rsid w:val="0025172C"/>
    <w:rsid w:val="00251A1B"/>
    <w:rsid w:val="00254E0E"/>
    <w:rsid w:val="002660E2"/>
    <w:rsid w:val="0026670C"/>
    <w:rsid w:val="00272C17"/>
    <w:rsid w:val="0027714D"/>
    <w:rsid w:val="002905F7"/>
    <w:rsid w:val="00291E40"/>
    <w:rsid w:val="002941DB"/>
    <w:rsid w:val="002A05DD"/>
    <w:rsid w:val="002A1D9A"/>
    <w:rsid w:val="002A32EA"/>
    <w:rsid w:val="002A4476"/>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FC7"/>
    <w:rsid w:val="00331421"/>
    <w:rsid w:val="003432FF"/>
    <w:rsid w:val="003440B1"/>
    <w:rsid w:val="003467AD"/>
    <w:rsid w:val="00352F0E"/>
    <w:rsid w:val="003542F4"/>
    <w:rsid w:val="00354C22"/>
    <w:rsid w:val="00356D07"/>
    <w:rsid w:val="00363811"/>
    <w:rsid w:val="003776A2"/>
    <w:rsid w:val="00393456"/>
    <w:rsid w:val="00393F27"/>
    <w:rsid w:val="00396DB6"/>
    <w:rsid w:val="003A7705"/>
    <w:rsid w:val="003B3AD8"/>
    <w:rsid w:val="003B6841"/>
    <w:rsid w:val="003B7AE8"/>
    <w:rsid w:val="003C2315"/>
    <w:rsid w:val="003C349E"/>
    <w:rsid w:val="003C371F"/>
    <w:rsid w:val="003C5F72"/>
    <w:rsid w:val="003E06C5"/>
    <w:rsid w:val="003E3EEF"/>
    <w:rsid w:val="003E4DE6"/>
    <w:rsid w:val="003F4157"/>
    <w:rsid w:val="003F7A36"/>
    <w:rsid w:val="00404AF8"/>
    <w:rsid w:val="00407262"/>
    <w:rsid w:val="004113A9"/>
    <w:rsid w:val="00412BC5"/>
    <w:rsid w:val="0042773C"/>
    <w:rsid w:val="004321F7"/>
    <w:rsid w:val="004333CD"/>
    <w:rsid w:val="004407A6"/>
    <w:rsid w:val="00445796"/>
    <w:rsid w:val="004504C6"/>
    <w:rsid w:val="00454378"/>
    <w:rsid w:val="00455511"/>
    <w:rsid w:val="00460621"/>
    <w:rsid w:val="00463047"/>
    <w:rsid w:val="00476704"/>
    <w:rsid w:val="0048157A"/>
    <w:rsid w:val="0048198F"/>
    <w:rsid w:val="00481EBF"/>
    <w:rsid w:val="00484829"/>
    <w:rsid w:val="00484B15"/>
    <w:rsid w:val="00485FBD"/>
    <w:rsid w:val="00486C6C"/>
    <w:rsid w:val="00490A12"/>
    <w:rsid w:val="00491E00"/>
    <w:rsid w:val="00496744"/>
    <w:rsid w:val="00497C31"/>
    <w:rsid w:val="004A699E"/>
    <w:rsid w:val="004B145E"/>
    <w:rsid w:val="004B66ED"/>
    <w:rsid w:val="004B7C4E"/>
    <w:rsid w:val="004C3A44"/>
    <w:rsid w:val="004D17EB"/>
    <w:rsid w:val="004D1C1A"/>
    <w:rsid w:val="004D2CEB"/>
    <w:rsid w:val="004E611C"/>
    <w:rsid w:val="004E7081"/>
    <w:rsid w:val="004F2DA5"/>
    <w:rsid w:val="004F3897"/>
    <w:rsid w:val="004F5933"/>
    <w:rsid w:val="004F717F"/>
    <w:rsid w:val="0050381E"/>
    <w:rsid w:val="00507325"/>
    <w:rsid w:val="005115E1"/>
    <w:rsid w:val="00513E78"/>
    <w:rsid w:val="0052004C"/>
    <w:rsid w:val="00520138"/>
    <w:rsid w:val="005210A5"/>
    <w:rsid w:val="005371FF"/>
    <w:rsid w:val="005461F1"/>
    <w:rsid w:val="00560A5A"/>
    <w:rsid w:val="00561B95"/>
    <w:rsid w:val="00565B17"/>
    <w:rsid w:val="0058123D"/>
    <w:rsid w:val="00590112"/>
    <w:rsid w:val="005968DF"/>
    <w:rsid w:val="005A4E94"/>
    <w:rsid w:val="005A74C6"/>
    <w:rsid w:val="005B3EF9"/>
    <w:rsid w:val="005B48FC"/>
    <w:rsid w:val="005B7F8E"/>
    <w:rsid w:val="005C161C"/>
    <w:rsid w:val="005C320D"/>
    <w:rsid w:val="005C6227"/>
    <w:rsid w:val="005E2D48"/>
    <w:rsid w:val="005E3228"/>
    <w:rsid w:val="005F1911"/>
    <w:rsid w:val="005F3328"/>
    <w:rsid w:val="005F55FA"/>
    <w:rsid w:val="00604A1A"/>
    <w:rsid w:val="00605737"/>
    <w:rsid w:val="00610E99"/>
    <w:rsid w:val="00611986"/>
    <w:rsid w:val="006155F4"/>
    <w:rsid w:val="0063300F"/>
    <w:rsid w:val="00633DF9"/>
    <w:rsid w:val="00635B18"/>
    <w:rsid w:val="00636600"/>
    <w:rsid w:val="00640CD1"/>
    <w:rsid w:val="0064381D"/>
    <w:rsid w:val="0065355D"/>
    <w:rsid w:val="0066677A"/>
    <w:rsid w:val="006778F7"/>
    <w:rsid w:val="00677B79"/>
    <w:rsid w:val="00681EC9"/>
    <w:rsid w:val="006942F8"/>
    <w:rsid w:val="0069444D"/>
    <w:rsid w:val="006A260A"/>
    <w:rsid w:val="006A33C7"/>
    <w:rsid w:val="006A736D"/>
    <w:rsid w:val="006B507A"/>
    <w:rsid w:val="006C19C7"/>
    <w:rsid w:val="006C1DD0"/>
    <w:rsid w:val="006C65B6"/>
    <w:rsid w:val="006C6BDE"/>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3B54"/>
    <w:rsid w:val="0074619F"/>
    <w:rsid w:val="007469CE"/>
    <w:rsid w:val="00750139"/>
    <w:rsid w:val="00751FC1"/>
    <w:rsid w:val="007564D3"/>
    <w:rsid w:val="00756C95"/>
    <w:rsid w:val="00757900"/>
    <w:rsid w:val="00762CB4"/>
    <w:rsid w:val="00770201"/>
    <w:rsid w:val="007722DD"/>
    <w:rsid w:val="00782C1C"/>
    <w:rsid w:val="00786D41"/>
    <w:rsid w:val="00794F11"/>
    <w:rsid w:val="007953EE"/>
    <w:rsid w:val="00795505"/>
    <w:rsid w:val="00797AC3"/>
    <w:rsid w:val="007A5BEF"/>
    <w:rsid w:val="007A6E42"/>
    <w:rsid w:val="007A6F56"/>
    <w:rsid w:val="007B3FFC"/>
    <w:rsid w:val="007C0745"/>
    <w:rsid w:val="007C258B"/>
    <w:rsid w:val="007C518E"/>
    <w:rsid w:val="007D10A1"/>
    <w:rsid w:val="007D2618"/>
    <w:rsid w:val="007E0968"/>
    <w:rsid w:val="007E314C"/>
    <w:rsid w:val="007E31BF"/>
    <w:rsid w:val="007E751A"/>
    <w:rsid w:val="007E7F57"/>
    <w:rsid w:val="007F10A8"/>
    <w:rsid w:val="007F3ECB"/>
    <w:rsid w:val="007F6003"/>
    <w:rsid w:val="007F6810"/>
    <w:rsid w:val="007F74D9"/>
    <w:rsid w:val="008028C3"/>
    <w:rsid w:val="00803F4C"/>
    <w:rsid w:val="00806D35"/>
    <w:rsid w:val="008107BC"/>
    <w:rsid w:val="008139B0"/>
    <w:rsid w:val="00816D3B"/>
    <w:rsid w:val="00833C18"/>
    <w:rsid w:val="0083445B"/>
    <w:rsid w:val="0083540F"/>
    <w:rsid w:val="00837F4F"/>
    <w:rsid w:val="00846B12"/>
    <w:rsid w:val="00847E4A"/>
    <w:rsid w:val="0085035E"/>
    <w:rsid w:val="00852823"/>
    <w:rsid w:val="00854E40"/>
    <w:rsid w:val="008558E9"/>
    <w:rsid w:val="0085632D"/>
    <w:rsid w:val="00864EBB"/>
    <w:rsid w:val="00865807"/>
    <w:rsid w:val="0087416D"/>
    <w:rsid w:val="00880ADA"/>
    <w:rsid w:val="00880D0D"/>
    <w:rsid w:val="0088194E"/>
    <w:rsid w:val="00883D24"/>
    <w:rsid w:val="00886C0D"/>
    <w:rsid w:val="008908B3"/>
    <w:rsid w:val="00890C1B"/>
    <w:rsid w:val="008922C7"/>
    <w:rsid w:val="008924EB"/>
    <w:rsid w:val="008A17BF"/>
    <w:rsid w:val="008A2C80"/>
    <w:rsid w:val="008A5E76"/>
    <w:rsid w:val="008B0C71"/>
    <w:rsid w:val="008B368D"/>
    <w:rsid w:val="008C2811"/>
    <w:rsid w:val="008C6743"/>
    <w:rsid w:val="008D0DC7"/>
    <w:rsid w:val="008D19F7"/>
    <w:rsid w:val="008D2EAB"/>
    <w:rsid w:val="008D4710"/>
    <w:rsid w:val="008D517E"/>
    <w:rsid w:val="008D6B16"/>
    <w:rsid w:val="008E3B0E"/>
    <w:rsid w:val="008E4625"/>
    <w:rsid w:val="008E718F"/>
    <w:rsid w:val="008E71DF"/>
    <w:rsid w:val="008F00D0"/>
    <w:rsid w:val="008F36EF"/>
    <w:rsid w:val="008F44F8"/>
    <w:rsid w:val="008F5E1F"/>
    <w:rsid w:val="008F63E9"/>
    <w:rsid w:val="009009AA"/>
    <w:rsid w:val="00902E6B"/>
    <w:rsid w:val="0090741A"/>
    <w:rsid w:val="00910321"/>
    <w:rsid w:val="00911170"/>
    <w:rsid w:val="009137D0"/>
    <w:rsid w:val="009160E2"/>
    <w:rsid w:val="00921906"/>
    <w:rsid w:val="00925020"/>
    <w:rsid w:val="00926ED4"/>
    <w:rsid w:val="00927186"/>
    <w:rsid w:val="0093182D"/>
    <w:rsid w:val="00932531"/>
    <w:rsid w:val="00932C9F"/>
    <w:rsid w:val="00932F10"/>
    <w:rsid w:val="009437E8"/>
    <w:rsid w:val="00943A2D"/>
    <w:rsid w:val="009447CA"/>
    <w:rsid w:val="00951AD3"/>
    <w:rsid w:val="00964A4B"/>
    <w:rsid w:val="0096611E"/>
    <w:rsid w:val="009673AF"/>
    <w:rsid w:val="009772B9"/>
    <w:rsid w:val="00984E18"/>
    <w:rsid w:val="00985E72"/>
    <w:rsid w:val="00996D73"/>
    <w:rsid w:val="0099786D"/>
    <w:rsid w:val="009B324A"/>
    <w:rsid w:val="009B38A1"/>
    <w:rsid w:val="009B3D46"/>
    <w:rsid w:val="009C67B7"/>
    <w:rsid w:val="009C6F7D"/>
    <w:rsid w:val="009D2A2D"/>
    <w:rsid w:val="009F03D0"/>
    <w:rsid w:val="009F34D1"/>
    <w:rsid w:val="009F67E6"/>
    <w:rsid w:val="009F7302"/>
    <w:rsid w:val="00A105F4"/>
    <w:rsid w:val="00A11CF1"/>
    <w:rsid w:val="00A20D53"/>
    <w:rsid w:val="00A2111B"/>
    <w:rsid w:val="00A25FAB"/>
    <w:rsid w:val="00A31649"/>
    <w:rsid w:val="00A34A4A"/>
    <w:rsid w:val="00A36417"/>
    <w:rsid w:val="00A40F11"/>
    <w:rsid w:val="00A43898"/>
    <w:rsid w:val="00A450CE"/>
    <w:rsid w:val="00A46C5D"/>
    <w:rsid w:val="00A5612B"/>
    <w:rsid w:val="00A6082D"/>
    <w:rsid w:val="00A63294"/>
    <w:rsid w:val="00A71EF2"/>
    <w:rsid w:val="00A72D1C"/>
    <w:rsid w:val="00A74EE0"/>
    <w:rsid w:val="00A76643"/>
    <w:rsid w:val="00A7749C"/>
    <w:rsid w:val="00A7786F"/>
    <w:rsid w:val="00A820BE"/>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F04F6"/>
    <w:rsid w:val="00AF089C"/>
    <w:rsid w:val="00AF20AC"/>
    <w:rsid w:val="00B01550"/>
    <w:rsid w:val="00B02242"/>
    <w:rsid w:val="00B04A3E"/>
    <w:rsid w:val="00B07B72"/>
    <w:rsid w:val="00B12A96"/>
    <w:rsid w:val="00B132E4"/>
    <w:rsid w:val="00B148F2"/>
    <w:rsid w:val="00B14C6E"/>
    <w:rsid w:val="00B16EE8"/>
    <w:rsid w:val="00B20140"/>
    <w:rsid w:val="00B218FE"/>
    <w:rsid w:val="00B21C59"/>
    <w:rsid w:val="00B244A1"/>
    <w:rsid w:val="00B3448D"/>
    <w:rsid w:val="00B41A9A"/>
    <w:rsid w:val="00B43AE8"/>
    <w:rsid w:val="00B44107"/>
    <w:rsid w:val="00B44693"/>
    <w:rsid w:val="00B506AF"/>
    <w:rsid w:val="00B54259"/>
    <w:rsid w:val="00B54CE6"/>
    <w:rsid w:val="00B54F0B"/>
    <w:rsid w:val="00B64CDD"/>
    <w:rsid w:val="00B67CEE"/>
    <w:rsid w:val="00B72957"/>
    <w:rsid w:val="00B73956"/>
    <w:rsid w:val="00B75E79"/>
    <w:rsid w:val="00B8143C"/>
    <w:rsid w:val="00B87690"/>
    <w:rsid w:val="00B87F6F"/>
    <w:rsid w:val="00B9040F"/>
    <w:rsid w:val="00B92C68"/>
    <w:rsid w:val="00B95683"/>
    <w:rsid w:val="00B979FB"/>
    <w:rsid w:val="00BB21E0"/>
    <w:rsid w:val="00BB526C"/>
    <w:rsid w:val="00BC18B3"/>
    <w:rsid w:val="00BC1A2B"/>
    <w:rsid w:val="00BC1BB2"/>
    <w:rsid w:val="00BD5ED0"/>
    <w:rsid w:val="00BE5655"/>
    <w:rsid w:val="00BE62B0"/>
    <w:rsid w:val="00BF2792"/>
    <w:rsid w:val="00BF4097"/>
    <w:rsid w:val="00BF4AA9"/>
    <w:rsid w:val="00C11DC8"/>
    <w:rsid w:val="00C139AD"/>
    <w:rsid w:val="00C1766C"/>
    <w:rsid w:val="00C26BEC"/>
    <w:rsid w:val="00C33174"/>
    <w:rsid w:val="00C36E31"/>
    <w:rsid w:val="00C4146E"/>
    <w:rsid w:val="00C446A4"/>
    <w:rsid w:val="00C51F11"/>
    <w:rsid w:val="00C54610"/>
    <w:rsid w:val="00C607E8"/>
    <w:rsid w:val="00C60F7D"/>
    <w:rsid w:val="00C77966"/>
    <w:rsid w:val="00C802A7"/>
    <w:rsid w:val="00C84880"/>
    <w:rsid w:val="00C85381"/>
    <w:rsid w:val="00C85EFB"/>
    <w:rsid w:val="00C85FDF"/>
    <w:rsid w:val="00C86EDD"/>
    <w:rsid w:val="00C87974"/>
    <w:rsid w:val="00C91C90"/>
    <w:rsid w:val="00C9344C"/>
    <w:rsid w:val="00C94273"/>
    <w:rsid w:val="00CA3ADD"/>
    <w:rsid w:val="00CB1476"/>
    <w:rsid w:val="00CB169A"/>
    <w:rsid w:val="00CC5F7C"/>
    <w:rsid w:val="00CD057C"/>
    <w:rsid w:val="00CD1128"/>
    <w:rsid w:val="00CD2C7B"/>
    <w:rsid w:val="00CE2BC2"/>
    <w:rsid w:val="00CE36C4"/>
    <w:rsid w:val="00CE48DB"/>
    <w:rsid w:val="00CE533B"/>
    <w:rsid w:val="00CF0841"/>
    <w:rsid w:val="00CF1208"/>
    <w:rsid w:val="00D11EB7"/>
    <w:rsid w:val="00D22FB3"/>
    <w:rsid w:val="00D2717E"/>
    <w:rsid w:val="00D320E7"/>
    <w:rsid w:val="00D3269F"/>
    <w:rsid w:val="00D36416"/>
    <w:rsid w:val="00D418BC"/>
    <w:rsid w:val="00D45A27"/>
    <w:rsid w:val="00D46E62"/>
    <w:rsid w:val="00D52541"/>
    <w:rsid w:val="00D54BA0"/>
    <w:rsid w:val="00D608D9"/>
    <w:rsid w:val="00D634C8"/>
    <w:rsid w:val="00D64B79"/>
    <w:rsid w:val="00D66E24"/>
    <w:rsid w:val="00D76D4E"/>
    <w:rsid w:val="00D806A3"/>
    <w:rsid w:val="00D814B6"/>
    <w:rsid w:val="00D8399F"/>
    <w:rsid w:val="00D84FE2"/>
    <w:rsid w:val="00D92409"/>
    <w:rsid w:val="00D95914"/>
    <w:rsid w:val="00DA1560"/>
    <w:rsid w:val="00DA3184"/>
    <w:rsid w:val="00DA5E27"/>
    <w:rsid w:val="00DA65EE"/>
    <w:rsid w:val="00DA7E5B"/>
    <w:rsid w:val="00DB0309"/>
    <w:rsid w:val="00DB6E4E"/>
    <w:rsid w:val="00DC5744"/>
    <w:rsid w:val="00DC619A"/>
    <w:rsid w:val="00DC7FC2"/>
    <w:rsid w:val="00DD2DB5"/>
    <w:rsid w:val="00DD2E0C"/>
    <w:rsid w:val="00DD3DB6"/>
    <w:rsid w:val="00DD4ED1"/>
    <w:rsid w:val="00DD686B"/>
    <w:rsid w:val="00DE3373"/>
    <w:rsid w:val="00DE654E"/>
    <w:rsid w:val="00DE6B3D"/>
    <w:rsid w:val="00DE72B9"/>
    <w:rsid w:val="00DF11FD"/>
    <w:rsid w:val="00DF4ECA"/>
    <w:rsid w:val="00DF5183"/>
    <w:rsid w:val="00DF6697"/>
    <w:rsid w:val="00DF7AB5"/>
    <w:rsid w:val="00DF7F0A"/>
    <w:rsid w:val="00E11376"/>
    <w:rsid w:val="00E21013"/>
    <w:rsid w:val="00E21941"/>
    <w:rsid w:val="00E30D18"/>
    <w:rsid w:val="00E425F9"/>
    <w:rsid w:val="00E444B2"/>
    <w:rsid w:val="00E50267"/>
    <w:rsid w:val="00E55C56"/>
    <w:rsid w:val="00E570B0"/>
    <w:rsid w:val="00E604F7"/>
    <w:rsid w:val="00E65448"/>
    <w:rsid w:val="00E678F0"/>
    <w:rsid w:val="00E71C8B"/>
    <w:rsid w:val="00E762DB"/>
    <w:rsid w:val="00E76DF9"/>
    <w:rsid w:val="00E76EA8"/>
    <w:rsid w:val="00E82677"/>
    <w:rsid w:val="00E85FE3"/>
    <w:rsid w:val="00E87D58"/>
    <w:rsid w:val="00E9124A"/>
    <w:rsid w:val="00E91BC8"/>
    <w:rsid w:val="00EA6B31"/>
    <w:rsid w:val="00EC0694"/>
    <w:rsid w:val="00EC1E4F"/>
    <w:rsid w:val="00EC5723"/>
    <w:rsid w:val="00EC5DF0"/>
    <w:rsid w:val="00ED43D8"/>
    <w:rsid w:val="00EE1FB9"/>
    <w:rsid w:val="00EE2A12"/>
    <w:rsid w:val="00EE3F96"/>
    <w:rsid w:val="00EE5B35"/>
    <w:rsid w:val="00EE7FAE"/>
    <w:rsid w:val="00EF409F"/>
    <w:rsid w:val="00EF491C"/>
    <w:rsid w:val="00EF6DB2"/>
    <w:rsid w:val="00F059EF"/>
    <w:rsid w:val="00F06DF3"/>
    <w:rsid w:val="00F10281"/>
    <w:rsid w:val="00F12122"/>
    <w:rsid w:val="00F13805"/>
    <w:rsid w:val="00F15584"/>
    <w:rsid w:val="00F163D7"/>
    <w:rsid w:val="00F236A2"/>
    <w:rsid w:val="00F25AA0"/>
    <w:rsid w:val="00F27EC3"/>
    <w:rsid w:val="00F301A1"/>
    <w:rsid w:val="00F30DDB"/>
    <w:rsid w:val="00F35D52"/>
    <w:rsid w:val="00F363B7"/>
    <w:rsid w:val="00F37CA6"/>
    <w:rsid w:val="00F46A70"/>
    <w:rsid w:val="00F51913"/>
    <w:rsid w:val="00F55724"/>
    <w:rsid w:val="00F608BD"/>
    <w:rsid w:val="00F67143"/>
    <w:rsid w:val="00F81417"/>
    <w:rsid w:val="00F854B9"/>
    <w:rsid w:val="00F938F5"/>
    <w:rsid w:val="00F94850"/>
    <w:rsid w:val="00F97E28"/>
    <w:rsid w:val="00FA6653"/>
    <w:rsid w:val="00FB1DFB"/>
    <w:rsid w:val="00FB50A2"/>
    <w:rsid w:val="00FB5E05"/>
    <w:rsid w:val="00FB74E0"/>
    <w:rsid w:val="00FC7D84"/>
    <w:rsid w:val="00FD22B3"/>
    <w:rsid w:val="00FD24E2"/>
    <w:rsid w:val="00FD50D4"/>
    <w:rsid w:val="00FD6E74"/>
    <w:rsid w:val="00FE0424"/>
    <w:rsid w:val="00FE3D58"/>
    <w:rsid w:val="00FF2CE6"/>
    <w:rsid w:val="00FF40A5"/>
    <w:rsid w:val="00FF64ED"/>
    <w:rsid w:val="015F254D"/>
    <w:rsid w:val="02CA111C"/>
    <w:rsid w:val="02F9662B"/>
    <w:rsid w:val="03413EA6"/>
    <w:rsid w:val="035D4211"/>
    <w:rsid w:val="037D5EE3"/>
    <w:rsid w:val="03B35EB3"/>
    <w:rsid w:val="04CF6E29"/>
    <w:rsid w:val="055B454C"/>
    <w:rsid w:val="059366CF"/>
    <w:rsid w:val="05D00163"/>
    <w:rsid w:val="070E4ECD"/>
    <w:rsid w:val="07637C01"/>
    <w:rsid w:val="077C34B8"/>
    <w:rsid w:val="07A209C4"/>
    <w:rsid w:val="07E85AD2"/>
    <w:rsid w:val="07EE27DC"/>
    <w:rsid w:val="080D26DA"/>
    <w:rsid w:val="08284245"/>
    <w:rsid w:val="084D215A"/>
    <w:rsid w:val="086F1260"/>
    <w:rsid w:val="0880226D"/>
    <w:rsid w:val="089F2BDE"/>
    <w:rsid w:val="08BB2505"/>
    <w:rsid w:val="099A07E1"/>
    <w:rsid w:val="0A053604"/>
    <w:rsid w:val="0A9B4FED"/>
    <w:rsid w:val="0B0C0A79"/>
    <w:rsid w:val="0B451F6A"/>
    <w:rsid w:val="0C023F0F"/>
    <w:rsid w:val="0C250B1D"/>
    <w:rsid w:val="0C6F4C8D"/>
    <w:rsid w:val="0D0E0EB6"/>
    <w:rsid w:val="0DAE3F9B"/>
    <w:rsid w:val="0DD776C3"/>
    <w:rsid w:val="0DE142CB"/>
    <w:rsid w:val="0E2B304C"/>
    <w:rsid w:val="0E2D5254"/>
    <w:rsid w:val="0E6D6B2B"/>
    <w:rsid w:val="0FDC1CDC"/>
    <w:rsid w:val="0FF94D50"/>
    <w:rsid w:val="10223C48"/>
    <w:rsid w:val="12475EA9"/>
    <w:rsid w:val="133360BD"/>
    <w:rsid w:val="146E4633"/>
    <w:rsid w:val="150412EA"/>
    <w:rsid w:val="1534372C"/>
    <w:rsid w:val="168168E2"/>
    <w:rsid w:val="17013AE2"/>
    <w:rsid w:val="171438BA"/>
    <w:rsid w:val="17230955"/>
    <w:rsid w:val="17795811"/>
    <w:rsid w:val="182770BA"/>
    <w:rsid w:val="18863017"/>
    <w:rsid w:val="18AC6D73"/>
    <w:rsid w:val="198F4A2D"/>
    <w:rsid w:val="199F18A8"/>
    <w:rsid w:val="1A2F687C"/>
    <w:rsid w:val="1B0911B7"/>
    <w:rsid w:val="1B4716B4"/>
    <w:rsid w:val="1BB73608"/>
    <w:rsid w:val="1C08419D"/>
    <w:rsid w:val="1D4D5FFD"/>
    <w:rsid w:val="1F7A0970"/>
    <w:rsid w:val="1FC009DE"/>
    <w:rsid w:val="20305BFC"/>
    <w:rsid w:val="209E2C67"/>
    <w:rsid w:val="216F32CA"/>
    <w:rsid w:val="218E591C"/>
    <w:rsid w:val="21CD1190"/>
    <w:rsid w:val="22124112"/>
    <w:rsid w:val="22C64929"/>
    <w:rsid w:val="2345029C"/>
    <w:rsid w:val="23F57352"/>
    <w:rsid w:val="249A7996"/>
    <w:rsid w:val="24ED7B85"/>
    <w:rsid w:val="267E2359"/>
    <w:rsid w:val="26BC7CBC"/>
    <w:rsid w:val="26EE3BF3"/>
    <w:rsid w:val="2742395A"/>
    <w:rsid w:val="27447ED5"/>
    <w:rsid w:val="275F3A77"/>
    <w:rsid w:val="27DB7828"/>
    <w:rsid w:val="284F0253"/>
    <w:rsid w:val="28644870"/>
    <w:rsid w:val="286909E6"/>
    <w:rsid w:val="28FC39E6"/>
    <w:rsid w:val="2AC86999"/>
    <w:rsid w:val="2AE949DF"/>
    <w:rsid w:val="2B3B474B"/>
    <w:rsid w:val="2B8D044E"/>
    <w:rsid w:val="2C016BB8"/>
    <w:rsid w:val="2C864792"/>
    <w:rsid w:val="2CBA4A07"/>
    <w:rsid w:val="2D77461B"/>
    <w:rsid w:val="2E400C5F"/>
    <w:rsid w:val="2E440A2C"/>
    <w:rsid w:val="2E5209E3"/>
    <w:rsid w:val="2EB01AFE"/>
    <w:rsid w:val="30592C7B"/>
    <w:rsid w:val="30D1119A"/>
    <w:rsid w:val="30D97FE5"/>
    <w:rsid w:val="30F12F4C"/>
    <w:rsid w:val="3112402E"/>
    <w:rsid w:val="313D3E38"/>
    <w:rsid w:val="3252231D"/>
    <w:rsid w:val="32611BF0"/>
    <w:rsid w:val="32B310BD"/>
    <w:rsid w:val="33A83294"/>
    <w:rsid w:val="34011E26"/>
    <w:rsid w:val="341B4D23"/>
    <w:rsid w:val="34996F43"/>
    <w:rsid w:val="359043C2"/>
    <w:rsid w:val="36A81FB2"/>
    <w:rsid w:val="3722158D"/>
    <w:rsid w:val="375E09FC"/>
    <w:rsid w:val="38525FA9"/>
    <w:rsid w:val="39003F1D"/>
    <w:rsid w:val="39276876"/>
    <w:rsid w:val="392B2930"/>
    <w:rsid w:val="393953B7"/>
    <w:rsid w:val="3980444F"/>
    <w:rsid w:val="3A2E3280"/>
    <w:rsid w:val="3AC853CC"/>
    <w:rsid w:val="3B48678D"/>
    <w:rsid w:val="3C582CD8"/>
    <w:rsid w:val="3E094E14"/>
    <w:rsid w:val="3E2546CD"/>
    <w:rsid w:val="3F4E6A98"/>
    <w:rsid w:val="40531C58"/>
    <w:rsid w:val="40F468E0"/>
    <w:rsid w:val="41192D98"/>
    <w:rsid w:val="413E5CD9"/>
    <w:rsid w:val="42E94B17"/>
    <w:rsid w:val="43425F9D"/>
    <w:rsid w:val="43F465D0"/>
    <w:rsid w:val="442A053D"/>
    <w:rsid w:val="44440739"/>
    <w:rsid w:val="44650D7A"/>
    <w:rsid w:val="446F65B8"/>
    <w:rsid w:val="44F057A6"/>
    <w:rsid w:val="45A95346"/>
    <w:rsid w:val="45BE3509"/>
    <w:rsid w:val="46416F41"/>
    <w:rsid w:val="4654187C"/>
    <w:rsid w:val="46C4203A"/>
    <w:rsid w:val="470E29AE"/>
    <w:rsid w:val="47DE346E"/>
    <w:rsid w:val="48240836"/>
    <w:rsid w:val="49626EB3"/>
    <w:rsid w:val="49CB0CCD"/>
    <w:rsid w:val="4AA610D6"/>
    <w:rsid w:val="4B0C055A"/>
    <w:rsid w:val="4B236903"/>
    <w:rsid w:val="4C8B4A7C"/>
    <w:rsid w:val="4CAB4730"/>
    <w:rsid w:val="4CFC368B"/>
    <w:rsid w:val="4D2C4CF9"/>
    <w:rsid w:val="4D5D73FA"/>
    <w:rsid w:val="4E5A7604"/>
    <w:rsid w:val="4E7D412D"/>
    <w:rsid w:val="4F086AAF"/>
    <w:rsid w:val="5015661E"/>
    <w:rsid w:val="5069668A"/>
    <w:rsid w:val="50A83CB2"/>
    <w:rsid w:val="512B42F2"/>
    <w:rsid w:val="515209C0"/>
    <w:rsid w:val="51A21442"/>
    <w:rsid w:val="538E5DEC"/>
    <w:rsid w:val="543F0EC5"/>
    <w:rsid w:val="55BD77C3"/>
    <w:rsid w:val="56D076DF"/>
    <w:rsid w:val="56E34736"/>
    <w:rsid w:val="56FB15A3"/>
    <w:rsid w:val="572C3C94"/>
    <w:rsid w:val="57806BBC"/>
    <w:rsid w:val="5838588F"/>
    <w:rsid w:val="5889510A"/>
    <w:rsid w:val="58963DA7"/>
    <w:rsid w:val="592C3305"/>
    <w:rsid w:val="5A020F73"/>
    <w:rsid w:val="5A2C7551"/>
    <w:rsid w:val="5A400720"/>
    <w:rsid w:val="5CF4139A"/>
    <w:rsid w:val="5D693C9C"/>
    <w:rsid w:val="5DE973D6"/>
    <w:rsid w:val="5E8D2D21"/>
    <w:rsid w:val="5EBD1212"/>
    <w:rsid w:val="5F2971CD"/>
    <w:rsid w:val="5FCB4F59"/>
    <w:rsid w:val="623F329A"/>
    <w:rsid w:val="62695E27"/>
    <w:rsid w:val="628242DE"/>
    <w:rsid w:val="63535FFA"/>
    <w:rsid w:val="636127C3"/>
    <w:rsid w:val="652A4FC7"/>
    <w:rsid w:val="6541100E"/>
    <w:rsid w:val="654C0BA8"/>
    <w:rsid w:val="664352EB"/>
    <w:rsid w:val="672079BD"/>
    <w:rsid w:val="675C299C"/>
    <w:rsid w:val="67B727F2"/>
    <w:rsid w:val="683E7EE4"/>
    <w:rsid w:val="687F4BB7"/>
    <w:rsid w:val="696610E4"/>
    <w:rsid w:val="697B0F29"/>
    <w:rsid w:val="6999742B"/>
    <w:rsid w:val="6A83721D"/>
    <w:rsid w:val="6AB35168"/>
    <w:rsid w:val="6AE21101"/>
    <w:rsid w:val="6B4F3B9E"/>
    <w:rsid w:val="6BD63153"/>
    <w:rsid w:val="6C5B55DC"/>
    <w:rsid w:val="6C860F1A"/>
    <w:rsid w:val="6CAE03DD"/>
    <w:rsid w:val="6CE56E6B"/>
    <w:rsid w:val="6D032DAA"/>
    <w:rsid w:val="6E005A26"/>
    <w:rsid w:val="6E6329C5"/>
    <w:rsid w:val="6ED152B6"/>
    <w:rsid w:val="6EFF345A"/>
    <w:rsid w:val="6F0E41D6"/>
    <w:rsid w:val="6FB4540B"/>
    <w:rsid w:val="6FE549DC"/>
    <w:rsid w:val="70C73255"/>
    <w:rsid w:val="71610FBE"/>
    <w:rsid w:val="722630D5"/>
    <w:rsid w:val="725008FF"/>
    <w:rsid w:val="72760778"/>
    <w:rsid w:val="730D09BA"/>
    <w:rsid w:val="743104E3"/>
    <w:rsid w:val="74320C3C"/>
    <w:rsid w:val="74513162"/>
    <w:rsid w:val="746638B2"/>
    <w:rsid w:val="75431AF8"/>
    <w:rsid w:val="757B75BC"/>
    <w:rsid w:val="76A665D3"/>
    <w:rsid w:val="78BD1F9D"/>
    <w:rsid w:val="79201CE1"/>
    <w:rsid w:val="79B14724"/>
    <w:rsid w:val="7A6C06BC"/>
    <w:rsid w:val="7B3E0A41"/>
    <w:rsid w:val="7BA21143"/>
    <w:rsid w:val="7C323980"/>
    <w:rsid w:val="7C5C38ED"/>
    <w:rsid w:val="7C696D53"/>
    <w:rsid w:val="7DAF30C1"/>
    <w:rsid w:val="7E9B78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semiHidden="0" w:name="heading 5" w:locked="1"/>
    <w:lsdException w:qFormat="1" w:uiPriority="0" w:semiHidden="0" w:name="heading 6" w:locked="1"/>
    <w:lsdException w:qFormat="1" w:uiPriority="0" w:semiHidden="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qFormat="1" w:unhideWhenUsed="0" w:uiPriority="0" w:semiHidden="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5">
    <w:name w:val="heading 1"/>
    <w:basedOn w:val="1"/>
    <w:next w:val="1"/>
    <w:link w:val="34"/>
    <w:qFormat/>
    <w:uiPriority w:val="99"/>
    <w:pPr>
      <w:keepNext/>
      <w:keepLines/>
      <w:spacing w:before="340" w:after="330" w:line="578" w:lineRule="auto"/>
      <w:outlineLvl w:val="0"/>
    </w:pPr>
    <w:rPr>
      <w:b/>
      <w:bCs/>
      <w:kern w:val="44"/>
      <w:sz w:val="44"/>
      <w:szCs w:val="44"/>
    </w:rPr>
  </w:style>
  <w:style w:type="paragraph" w:styleId="6">
    <w:name w:val="heading 2"/>
    <w:basedOn w:val="1"/>
    <w:next w:val="1"/>
    <w:link w:val="35"/>
    <w:qFormat/>
    <w:uiPriority w:val="99"/>
    <w:pPr>
      <w:keepNext/>
      <w:keepLines/>
      <w:spacing w:before="260" w:after="260" w:line="416" w:lineRule="auto"/>
      <w:outlineLvl w:val="1"/>
    </w:pPr>
    <w:rPr>
      <w:rFonts w:ascii="Cambria" w:hAnsi="Cambria"/>
      <w:b/>
      <w:bCs/>
      <w:sz w:val="32"/>
      <w:szCs w:val="32"/>
    </w:rPr>
  </w:style>
  <w:style w:type="paragraph" w:styleId="7">
    <w:name w:val="heading 3"/>
    <w:basedOn w:val="1"/>
    <w:next w:val="1"/>
    <w:link w:val="36"/>
    <w:qFormat/>
    <w:uiPriority w:val="99"/>
    <w:pPr>
      <w:keepNext/>
      <w:keepLines/>
      <w:widowControl/>
      <w:spacing w:before="260" w:after="260" w:line="413" w:lineRule="auto"/>
      <w:outlineLvl w:val="2"/>
    </w:pPr>
    <w:rPr>
      <w:rFonts w:ascii="Calibri" w:hAnsi="Calibri" w:cs="宋体"/>
      <w:b/>
      <w:sz w:val="32"/>
      <w:szCs w:val="22"/>
    </w:rPr>
  </w:style>
  <w:style w:type="paragraph" w:styleId="8">
    <w:name w:val="heading 4"/>
    <w:basedOn w:val="1"/>
    <w:next w:val="1"/>
    <w:link w:val="37"/>
    <w:qFormat/>
    <w:uiPriority w:val="99"/>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unhideWhenUsed/>
    <w:qFormat/>
    <w:locked/>
    <w:uiPriority w:val="0"/>
    <w:pPr>
      <w:keepNext/>
      <w:keepLines/>
      <w:spacing w:before="280" w:beforeLines="0" w:beforeAutospacing="0" w:after="290" w:afterLines="0" w:afterAutospacing="0" w:line="372" w:lineRule="auto"/>
      <w:outlineLvl w:val="4"/>
    </w:pPr>
    <w:rPr>
      <w:b/>
      <w:sz w:val="28"/>
    </w:rPr>
  </w:style>
  <w:style w:type="paragraph" w:styleId="10">
    <w:name w:val="heading 6"/>
    <w:basedOn w:val="1"/>
    <w:next w:val="1"/>
    <w:unhideWhenUsed/>
    <w:qFormat/>
    <w:locked/>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11">
    <w:name w:val="heading 7"/>
    <w:basedOn w:val="1"/>
    <w:next w:val="1"/>
    <w:unhideWhenUsed/>
    <w:qFormat/>
    <w:locked/>
    <w:uiPriority w:val="0"/>
    <w:pPr>
      <w:keepNext/>
      <w:keepLines/>
      <w:spacing w:before="240" w:beforeLines="0" w:beforeAutospacing="0" w:after="64" w:afterLines="0" w:afterAutospacing="0" w:line="317" w:lineRule="auto"/>
      <w:outlineLvl w:val="6"/>
    </w:pPr>
    <w:rPr>
      <w:b/>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0"/>
    <w:qFormat/>
    <w:uiPriority w:val="99"/>
    <w:pPr>
      <w:spacing w:after="120"/>
    </w:pPr>
  </w:style>
  <w:style w:type="paragraph" w:styleId="3">
    <w:name w:val="Body Text First Indent"/>
    <w:basedOn w:val="2"/>
    <w:next w:val="4"/>
    <w:link w:val="44"/>
    <w:qFormat/>
    <w:uiPriority w:val="99"/>
    <w:pPr>
      <w:widowControl/>
      <w:ind w:firstLine="420" w:firstLineChars="100"/>
    </w:pPr>
    <w:rPr>
      <w:rFonts w:ascii="Calibri" w:hAnsi="Calibri" w:cs="宋体"/>
      <w:szCs w:val="22"/>
    </w:rPr>
  </w:style>
  <w:style w:type="paragraph" w:customStyle="1" w:styleId="4">
    <w:name w:val="样式 正文首行缩进 + 首行缩进:  1 字符"/>
    <w:basedOn w:val="1"/>
    <w:next w:val="1"/>
    <w:qFormat/>
    <w:uiPriority w:val="0"/>
    <w:pPr>
      <w:ind w:firstLine="200" w:firstLineChars="200"/>
    </w:pPr>
    <w:rPr>
      <w:rFonts w:cs="宋体"/>
      <w:szCs w:val="20"/>
    </w:rPr>
  </w:style>
  <w:style w:type="paragraph" w:styleId="12">
    <w:name w:val="Normal Indent"/>
    <w:basedOn w:val="1"/>
    <w:link w:val="54"/>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13">
    <w:name w:val="caption"/>
    <w:basedOn w:val="1"/>
    <w:next w:val="1"/>
    <w:qFormat/>
    <w:locked/>
    <w:uiPriority w:val="0"/>
    <w:pPr>
      <w:spacing w:before="152" w:after="160"/>
    </w:pPr>
    <w:rPr>
      <w:rFonts w:ascii="Arial" w:hAnsi="Arial" w:eastAsia="黑体" w:cs="Arial"/>
      <w:sz w:val="20"/>
      <w:szCs w:val="20"/>
    </w:rPr>
  </w:style>
  <w:style w:type="paragraph" w:styleId="14">
    <w:name w:val="index 5"/>
    <w:next w:val="1"/>
    <w:unhideWhenUsed/>
    <w:qFormat/>
    <w:uiPriority w:val="99"/>
    <w:pPr>
      <w:widowControl w:val="0"/>
      <w:ind w:left="800" w:leftChars="800"/>
      <w:jc w:val="both"/>
    </w:pPr>
    <w:rPr>
      <w:rFonts w:ascii="Calibri" w:hAnsi="Calibri" w:eastAsia="宋体" w:cs="黑体"/>
      <w:kern w:val="2"/>
      <w:sz w:val="21"/>
      <w:szCs w:val="24"/>
      <w:lang w:val="en-US" w:eastAsia="zh-CN" w:bidi="ar-SA"/>
    </w:rPr>
  </w:style>
  <w:style w:type="paragraph" w:styleId="15">
    <w:name w:val="Document Map"/>
    <w:basedOn w:val="1"/>
    <w:link w:val="38"/>
    <w:qFormat/>
    <w:uiPriority w:val="99"/>
    <w:rPr>
      <w:rFonts w:ascii="宋体"/>
      <w:sz w:val="18"/>
      <w:szCs w:val="18"/>
    </w:rPr>
  </w:style>
  <w:style w:type="paragraph" w:styleId="16">
    <w:name w:val="annotation text"/>
    <w:basedOn w:val="1"/>
    <w:link w:val="39"/>
    <w:qFormat/>
    <w:uiPriority w:val="99"/>
    <w:pPr>
      <w:jc w:val="left"/>
    </w:pPr>
  </w:style>
  <w:style w:type="paragraph" w:styleId="17">
    <w:name w:val="Body Text Indent"/>
    <w:basedOn w:val="1"/>
    <w:qFormat/>
    <w:uiPriority w:val="0"/>
    <w:pPr>
      <w:spacing w:after="120"/>
      <w:ind w:left="420" w:leftChars="200"/>
    </w:pPr>
    <w:rPr>
      <w:rFonts w:ascii="Times New Roman" w:hAnsi="Times New Roman" w:eastAsiaTheme="minorEastAsia" w:cstheme="minorBidi"/>
      <w:kern w:val="0"/>
      <w:sz w:val="20"/>
    </w:rPr>
  </w:style>
  <w:style w:type="paragraph" w:styleId="18">
    <w:name w:val="Plain Text"/>
    <w:basedOn w:val="1"/>
    <w:next w:val="19"/>
    <w:link w:val="56"/>
    <w:qFormat/>
    <w:uiPriority w:val="99"/>
    <w:pPr>
      <w:tabs>
        <w:tab w:val="left" w:pos="-105"/>
      </w:tabs>
      <w:spacing w:line="440" w:lineRule="exact"/>
      <w:ind w:right="-147" w:rightChars="-70"/>
      <w:outlineLvl w:val="2"/>
    </w:pPr>
    <w:rPr>
      <w:rFonts w:ascii="宋体" w:hAnsi="Courier New"/>
      <w:sz w:val="24"/>
      <w:szCs w:val="21"/>
    </w:rPr>
  </w:style>
  <w:style w:type="paragraph" w:customStyle="1" w:styleId="19">
    <w:name w:val="Default"/>
    <w:qFormat/>
    <w:uiPriority w:val="0"/>
    <w:pPr>
      <w:widowControl w:val="0"/>
      <w:autoSpaceDE w:val="0"/>
      <w:autoSpaceDN w:val="0"/>
      <w:adjustRightInd w:val="0"/>
      <w:spacing w:line="560" w:lineRule="exact"/>
      <w:jc w:val="both"/>
    </w:pPr>
    <w:rPr>
      <w:rFonts w:ascii="宋体" w:hAnsi="Calibri" w:eastAsia="宋体" w:cs="宋体"/>
      <w:color w:val="000000"/>
      <w:sz w:val="24"/>
      <w:szCs w:val="24"/>
      <w:lang w:val="en-US" w:eastAsia="zh-CN" w:bidi="ar-SA"/>
    </w:rPr>
  </w:style>
  <w:style w:type="paragraph" w:styleId="20">
    <w:name w:val="Balloon Text"/>
    <w:basedOn w:val="1"/>
    <w:link w:val="41"/>
    <w:qFormat/>
    <w:uiPriority w:val="99"/>
    <w:rPr>
      <w:sz w:val="18"/>
      <w:szCs w:val="18"/>
    </w:rPr>
  </w:style>
  <w:style w:type="paragraph" w:styleId="21">
    <w:name w:val="footer"/>
    <w:basedOn w:val="1"/>
    <w:link w:val="42"/>
    <w:qFormat/>
    <w:uiPriority w:val="99"/>
    <w:pPr>
      <w:tabs>
        <w:tab w:val="center" w:pos="4153"/>
        <w:tab w:val="right" w:pos="8306"/>
      </w:tabs>
      <w:snapToGrid w:val="0"/>
      <w:jc w:val="left"/>
    </w:pPr>
    <w:rPr>
      <w:sz w:val="18"/>
      <w:szCs w:val="18"/>
    </w:rPr>
  </w:style>
  <w:style w:type="paragraph" w:styleId="22">
    <w:name w:val="envelope return"/>
    <w:basedOn w:val="1"/>
    <w:qFormat/>
    <w:uiPriority w:val="0"/>
  </w:style>
  <w:style w:type="paragraph" w:styleId="23">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25">
    <w:name w:val="toc 6"/>
    <w:basedOn w:val="1"/>
    <w:next w:val="1"/>
    <w:qFormat/>
    <w:locked/>
    <w:uiPriority w:val="0"/>
    <w:pPr>
      <w:ind w:left="1200"/>
    </w:pPr>
    <w:rPr>
      <w:rFonts w:ascii="Calibri" w:cs="Calibri"/>
      <w:sz w:val="18"/>
      <w:szCs w:val="18"/>
    </w:rPr>
  </w:style>
  <w:style w:type="paragraph" w:styleId="2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27">
    <w:name w:val="annotation subject"/>
    <w:basedOn w:val="16"/>
    <w:next w:val="16"/>
    <w:link w:val="61"/>
    <w:semiHidden/>
    <w:qFormat/>
    <w:uiPriority w:val="99"/>
    <w:rPr>
      <w:b/>
      <w:bCs/>
    </w:rPr>
  </w:style>
  <w:style w:type="paragraph" w:styleId="28">
    <w:name w:val="Body Text First Indent 2"/>
    <w:basedOn w:val="17"/>
    <w:qFormat/>
    <w:uiPriority w:val="0"/>
    <w:pPr>
      <w:snapToGrid w:val="0"/>
      <w:spacing w:line="360" w:lineRule="auto"/>
      <w:ind w:left="0" w:leftChars="0" w:firstLine="420" w:firstLineChars="200"/>
    </w:pPr>
    <w:rPr>
      <w:rFonts w:ascii="Tahoma" w:hAnsi="Tahoma" w:eastAsia="宋体"/>
      <w:sz w:val="28"/>
    </w:rPr>
  </w:style>
  <w:style w:type="table" w:styleId="30">
    <w:name w:val="Table Grid"/>
    <w:basedOn w:val="29"/>
    <w:qFormat/>
    <w:uiPriority w:val="5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basedOn w:val="31"/>
    <w:qFormat/>
    <w:uiPriority w:val="99"/>
    <w:rPr>
      <w:rFonts w:cs="Times New Roman"/>
      <w:color w:val="0000FF"/>
      <w:u w:val="single"/>
    </w:rPr>
  </w:style>
  <w:style w:type="character" w:styleId="33">
    <w:name w:val="annotation reference"/>
    <w:basedOn w:val="31"/>
    <w:qFormat/>
    <w:uiPriority w:val="99"/>
    <w:rPr>
      <w:rFonts w:cs="Times New Roman"/>
      <w:sz w:val="21"/>
      <w:szCs w:val="21"/>
    </w:rPr>
  </w:style>
  <w:style w:type="character" w:customStyle="1" w:styleId="34">
    <w:name w:val="标题 1 字符"/>
    <w:basedOn w:val="31"/>
    <w:link w:val="5"/>
    <w:qFormat/>
    <w:locked/>
    <w:uiPriority w:val="99"/>
    <w:rPr>
      <w:rFonts w:ascii="Times New Roman" w:hAnsi="Times New Roman" w:eastAsia="宋体" w:cs="Times New Roman"/>
      <w:b/>
      <w:bCs/>
      <w:kern w:val="44"/>
      <w:sz w:val="44"/>
      <w:szCs w:val="44"/>
    </w:rPr>
  </w:style>
  <w:style w:type="character" w:customStyle="1" w:styleId="35">
    <w:name w:val="标题 2 字符"/>
    <w:basedOn w:val="31"/>
    <w:link w:val="6"/>
    <w:qFormat/>
    <w:locked/>
    <w:uiPriority w:val="99"/>
    <w:rPr>
      <w:rFonts w:ascii="Cambria" w:hAnsi="Cambria" w:eastAsia="宋体" w:cs="Times New Roman"/>
      <w:b/>
      <w:bCs/>
      <w:kern w:val="2"/>
      <w:sz w:val="32"/>
      <w:szCs w:val="32"/>
    </w:rPr>
  </w:style>
  <w:style w:type="character" w:customStyle="1" w:styleId="36">
    <w:name w:val="标题 3 字符"/>
    <w:basedOn w:val="31"/>
    <w:link w:val="7"/>
    <w:qFormat/>
    <w:locked/>
    <w:uiPriority w:val="99"/>
    <w:rPr>
      <w:rFonts w:eastAsia="宋体" w:cs="Times New Roman"/>
      <w:b/>
      <w:sz w:val="32"/>
    </w:rPr>
  </w:style>
  <w:style w:type="character" w:customStyle="1" w:styleId="37">
    <w:name w:val="标题 4 字符1"/>
    <w:basedOn w:val="31"/>
    <w:link w:val="8"/>
    <w:qFormat/>
    <w:locked/>
    <w:uiPriority w:val="99"/>
    <w:rPr>
      <w:rFonts w:ascii="Arial" w:hAnsi="Arial" w:eastAsia="黑体" w:cs="Times New Roman"/>
      <w:b/>
      <w:bCs/>
      <w:kern w:val="2"/>
      <w:sz w:val="28"/>
      <w:szCs w:val="28"/>
    </w:rPr>
  </w:style>
  <w:style w:type="character" w:customStyle="1" w:styleId="38">
    <w:name w:val="文档结构图 字符"/>
    <w:basedOn w:val="31"/>
    <w:link w:val="15"/>
    <w:qFormat/>
    <w:locked/>
    <w:uiPriority w:val="99"/>
    <w:rPr>
      <w:rFonts w:ascii="宋体" w:hAnsi="Times New Roman" w:eastAsia="宋体" w:cs="Times New Roman"/>
      <w:kern w:val="2"/>
      <w:sz w:val="18"/>
      <w:szCs w:val="18"/>
    </w:rPr>
  </w:style>
  <w:style w:type="character" w:customStyle="1" w:styleId="39">
    <w:name w:val="批注文字 字符"/>
    <w:basedOn w:val="31"/>
    <w:link w:val="16"/>
    <w:qFormat/>
    <w:locked/>
    <w:uiPriority w:val="99"/>
    <w:rPr>
      <w:rFonts w:ascii="Times New Roman" w:hAnsi="Times New Roman" w:cs="Times New Roman"/>
      <w:kern w:val="2"/>
      <w:sz w:val="21"/>
    </w:rPr>
  </w:style>
  <w:style w:type="character" w:customStyle="1" w:styleId="40">
    <w:name w:val="正文文本 字符"/>
    <w:basedOn w:val="31"/>
    <w:link w:val="2"/>
    <w:qFormat/>
    <w:locked/>
    <w:uiPriority w:val="99"/>
    <w:rPr>
      <w:rFonts w:ascii="Times New Roman" w:hAnsi="Times New Roman" w:eastAsia="宋体" w:cs="Times New Roman"/>
      <w:sz w:val="20"/>
      <w:szCs w:val="20"/>
    </w:rPr>
  </w:style>
  <w:style w:type="character" w:customStyle="1" w:styleId="41">
    <w:name w:val="批注框文本 字符"/>
    <w:basedOn w:val="31"/>
    <w:link w:val="20"/>
    <w:qFormat/>
    <w:locked/>
    <w:uiPriority w:val="99"/>
    <w:rPr>
      <w:rFonts w:ascii="Times New Roman" w:hAnsi="Times New Roman" w:eastAsia="宋体" w:cs="Times New Roman"/>
      <w:kern w:val="2"/>
      <w:sz w:val="18"/>
      <w:szCs w:val="18"/>
    </w:rPr>
  </w:style>
  <w:style w:type="character" w:customStyle="1" w:styleId="42">
    <w:name w:val="页脚 字符"/>
    <w:basedOn w:val="31"/>
    <w:link w:val="21"/>
    <w:qFormat/>
    <w:locked/>
    <w:uiPriority w:val="99"/>
    <w:rPr>
      <w:rFonts w:ascii="Times New Roman" w:hAnsi="Times New Roman" w:eastAsia="宋体" w:cs="Times New Roman"/>
      <w:sz w:val="18"/>
      <w:szCs w:val="18"/>
    </w:rPr>
  </w:style>
  <w:style w:type="character" w:customStyle="1" w:styleId="43">
    <w:name w:val="页眉 字符"/>
    <w:basedOn w:val="31"/>
    <w:link w:val="23"/>
    <w:qFormat/>
    <w:locked/>
    <w:uiPriority w:val="99"/>
    <w:rPr>
      <w:rFonts w:ascii="Times New Roman" w:hAnsi="Times New Roman" w:eastAsia="宋体" w:cs="Times New Roman"/>
      <w:sz w:val="18"/>
      <w:szCs w:val="18"/>
    </w:rPr>
  </w:style>
  <w:style w:type="character" w:customStyle="1" w:styleId="44">
    <w:name w:val="正文首行缩进 字符"/>
    <w:basedOn w:val="40"/>
    <w:link w:val="3"/>
    <w:qFormat/>
    <w:locked/>
    <w:uiPriority w:val="99"/>
    <w:rPr>
      <w:rFonts w:ascii="Times New Roman" w:hAnsi="Times New Roman" w:eastAsia="宋体" w:cs="Times New Roman"/>
      <w:sz w:val="20"/>
      <w:szCs w:val="20"/>
    </w:rPr>
  </w:style>
  <w:style w:type="character" w:customStyle="1" w:styleId="45">
    <w:name w:val="正文缩进2格 Char"/>
    <w:link w:val="46"/>
    <w:qFormat/>
    <w:locked/>
    <w:uiPriority w:val="99"/>
    <w:rPr>
      <w:rFonts w:ascii="仿宋_GB2312" w:hAnsi="宋体" w:eastAsia="仿宋_GB2312"/>
      <w:sz w:val="31"/>
    </w:rPr>
  </w:style>
  <w:style w:type="paragraph" w:customStyle="1" w:styleId="46">
    <w:name w:val="正文缩进2格"/>
    <w:basedOn w:val="1"/>
    <w:link w:val="45"/>
    <w:qFormat/>
    <w:uiPriority w:val="99"/>
    <w:pPr>
      <w:spacing w:line="600" w:lineRule="exact"/>
      <w:ind w:firstLine="639" w:firstLineChars="206"/>
    </w:pPr>
    <w:rPr>
      <w:rFonts w:ascii="仿宋_GB2312" w:hAnsi="宋体" w:eastAsia="仿宋_GB2312"/>
      <w:kern w:val="0"/>
      <w:sz w:val="31"/>
      <w:szCs w:val="31"/>
    </w:rPr>
  </w:style>
  <w:style w:type="paragraph" w:customStyle="1" w:styleId="47">
    <w:name w:val="列出段落1"/>
    <w:basedOn w:val="1"/>
    <w:qFormat/>
    <w:uiPriority w:val="99"/>
    <w:pPr>
      <w:ind w:firstLine="420" w:firstLineChars="200"/>
    </w:pPr>
  </w:style>
  <w:style w:type="paragraph" w:customStyle="1" w:styleId="48">
    <w:name w:val="列出段落2"/>
    <w:basedOn w:val="1"/>
    <w:qFormat/>
    <w:uiPriority w:val="99"/>
    <w:pPr>
      <w:ind w:firstLine="420" w:firstLineChars="200"/>
    </w:pPr>
  </w:style>
  <w:style w:type="paragraph" w:styleId="49">
    <w:name w:val="List Paragraph"/>
    <w:basedOn w:val="1"/>
    <w:qFormat/>
    <w:uiPriority w:val="99"/>
    <w:pPr>
      <w:ind w:firstLine="420" w:firstLineChars="200"/>
    </w:pPr>
  </w:style>
  <w:style w:type="character" w:customStyle="1" w:styleId="50">
    <w:name w:val="fontstyle01"/>
    <w:basedOn w:val="31"/>
    <w:qFormat/>
    <w:uiPriority w:val="99"/>
    <w:rPr>
      <w:rFonts w:ascii="仿宋" w:hAnsi="仿宋" w:eastAsia="仿宋" w:cs="Times New Roman"/>
      <w:color w:val="000000"/>
      <w:sz w:val="28"/>
      <w:szCs w:val="28"/>
    </w:rPr>
  </w:style>
  <w:style w:type="character" w:customStyle="1" w:styleId="51">
    <w:name w:val="！正文 Char"/>
    <w:link w:val="52"/>
    <w:qFormat/>
    <w:locked/>
    <w:uiPriority w:val="99"/>
    <w:rPr>
      <w:rFonts w:ascii="Arial" w:hAnsi="Arial"/>
      <w:sz w:val="24"/>
    </w:rPr>
  </w:style>
  <w:style w:type="paragraph" w:customStyle="1" w:styleId="52">
    <w:name w:val="！正文"/>
    <w:basedOn w:val="1"/>
    <w:link w:val="51"/>
    <w:qFormat/>
    <w:uiPriority w:val="99"/>
    <w:pPr>
      <w:spacing w:line="360" w:lineRule="auto"/>
      <w:ind w:firstLine="200" w:firstLineChars="200"/>
    </w:pPr>
    <w:rPr>
      <w:rFonts w:ascii="Arial" w:hAnsi="Arial" w:eastAsia="等线"/>
      <w:kern w:val="0"/>
      <w:sz w:val="24"/>
      <w:szCs w:val="24"/>
    </w:rPr>
  </w:style>
  <w:style w:type="paragraph" w:customStyle="1" w:styleId="53">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54">
    <w:name w:val="正文缩进 字符"/>
    <w:link w:val="12"/>
    <w:qFormat/>
    <w:locked/>
    <w:uiPriority w:val="99"/>
    <w:rPr>
      <w:sz w:val="24"/>
    </w:rPr>
  </w:style>
  <w:style w:type="paragraph" w:customStyle="1" w:styleId="55">
    <w:name w:val="标准书脚_奇数页"/>
    <w:qFormat/>
    <w:uiPriority w:val="99"/>
    <w:pPr>
      <w:numPr>
        <w:ilvl w:val="0"/>
        <w:numId w:val="1"/>
      </w:numPr>
      <w:spacing w:before="120"/>
      <w:ind w:left="0" w:firstLine="0"/>
      <w:jc w:val="right"/>
    </w:pPr>
    <w:rPr>
      <w:rFonts w:ascii="Times New Roman" w:hAnsi="Times New Roman" w:eastAsia="宋体" w:cs="Times New Roman"/>
      <w:kern w:val="0"/>
      <w:sz w:val="18"/>
      <w:szCs w:val="20"/>
      <w:lang w:val="en-US" w:eastAsia="zh-CN" w:bidi="ar-SA"/>
    </w:rPr>
  </w:style>
  <w:style w:type="character" w:customStyle="1" w:styleId="56">
    <w:name w:val="纯文本 字符"/>
    <w:basedOn w:val="31"/>
    <w:link w:val="18"/>
    <w:qFormat/>
    <w:locked/>
    <w:uiPriority w:val="99"/>
    <w:rPr>
      <w:rFonts w:ascii="宋体" w:hAnsi="Courier New" w:eastAsia="宋体" w:cs="Times New Roman"/>
      <w:kern w:val="2"/>
      <w:sz w:val="21"/>
      <w:szCs w:val="21"/>
    </w:rPr>
  </w:style>
  <w:style w:type="character" w:customStyle="1" w:styleId="57">
    <w:name w:val="未处理的提及1"/>
    <w:basedOn w:val="31"/>
    <w:semiHidden/>
    <w:qFormat/>
    <w:uiPriority w:val="99"/>
    <w:rPr>
      <w:rFonts w:cs="Times New Roman"/>
      <w:color w:val="605E5C"/>
      <w:shd w:val="clear" w:color="auto" w:fill="E1DFDD"/>
    </w:rPr>
  </w:style>
  <w:style w:type="paragraph" w:customStyle="1" w:styleId="58">
    <w:name w:val="样式"/>
    <w:basedOn w:val="1"/>
    <w:next w:val="49"/>
    <w:qFormat/>
    <w:uiPriority w:val="99"/>
    <w:pPr>
      <w:ind w:firstLine="420" w:firstLineChars="200"/>
    </w:pPr>
    <w:rPr>
      <w:rFonts w:ascii="Calibri" w:hAnsi="Calibri"/>
      <w:szCs w:val="22"/>
    </w:rPr>
  </w:style>
  <w:style w:type="character" w:customStyle="1" w:styleId="59">
    <w:name w:val="Body Text Indent 2 Char Char"/>
    <w:link w:val="60"/>
    <w:qFormat/>
    <w:locked/>
    <w:uiPriority w:val="99"/>
  </w:style>
  <w:style w:type="paragraph" w:customStyle="1" w:styleId="60">
    <w:name w:val="正文文本缩进 21"/>
    <w:basedOn w:val="1"/>
    <w:link w:val="59"/>
    <w:qFormat/>
    <w:uiPriority w:val="99"/>
    <w:pPr>
      <w:adjustRightInd w:val="0"/>
      <w:spacing w:line="480" w:lineRule="auto"/>
      <w:ind w:firstLine="540"/>
    </w:pPr>
    <w:rPr>
      <w:rFonts w:ascii="Calibri" w:hAnsi="Calibri" w:eastAsia="等线"/>
      <w:kern w:val="0"/>
      <w:sz w:val="20"/>
    </w:rPr>
  </w:style>
  <w:style w:type="character" w:customStyle="1" w:styleId="61">
    <w:name w:val="批注主题 字符"/>
    <w:basedOn w:val="39"/>
    <w:link w:val="27"/>
    <w:semiHidden/>
    <w:qFormat/>
    <w:locked/>
    <w:uiPriority w:val="99"/>
    <w:rPr>
      <w:rFonts w:ascii="Times New Roman" w:hAnsi="Times New Roman" w:eastAsia="宋体" w:cs="Times New Roman"/>
      <w:b/>
      <w:bCs/>
      <w:kern w:val="2"/>
      <w:sz w:val="21"/>
    </w:rPr>
  </w:style>
  <w:style w:type="character" w:customStyle="1" w:styleId="62">
    <w:name w:val="标题 4 字符"/>
    <w:basedOn w:val="31"/>
    <w:semiHidden/>
    <w:qFormat/>
    <w:uiPriority w:val="99"/>
    <w:rPr>
      <w:rFonts w:ascii="Cambria" w:hAnsi="Cambria" w:eastAsia="宋体" w:cs="Times New Roman"/>
      <w:b/>
      <w:bCs/>
      <w:kern w:val="2"/>
      <w:sz w:val="28"/>
      <w:szCs w:val="28"/>
    </w:rPr>
  </w:style>
  <w:style w:type="paragraph" w:customStyle="1" w:styleId="63">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4">
    <w:name w:val="致远要点"/>
    <w:basedOn w:val="49"/>
    <w:link w:val="65"/>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5">
    <w:name w:val="致远要点 字符"/>
    <w:basedOn w:val="31"/>
    <w:link w:val="64"/>
    <w:qFormat/>
    <w:locked/>
    <w:uiPriority w:val="99"/>
    <w:rPr>
      <w:rFonts w:ascii="黑体" w:hAnsi="黑体" w:eastAsia="黑体" w:cs="宋体"/>
      <w:kern w:val="2"/>
      <w:sz w:val="22"/>
      <w:szCs w:val="22"/>
    </w:rPr>
  </w:style>
  <w:style w:type="paragraph" w:customStyle="1" w:styleId="66">
    <w:name w:val="SANGFOR_6_正文"/>
    <w:basedOn w:val="1"/>
    <w:qFormat/>
    <w:uiPriority w:val="99"/>
    <w:pPr>
      <w:spacing w:line="360" w:lineRule="auto"/>
    </w:pPr>
    <w:rPr>
      <w:szCs w:val="24"/>
    </w:rPr>
  </w:style>
  <w:style w:type="character" w:customStyle="1" w:styleId="67">
    <w:name w:val="font51"/>
    <w:basedOn w:val="31"/>
    <w:qFormat/>
    <w:uiPriority w:val="0"/>
    <w:rPr>
      <w:rFonts w:hint="default" w:ascii="Times New Roman" w:hAnsi="Times New Roman" w:cs="Times New Roman"/>
      <w:b/>
      <w:bCs/>
      <w:color w:val="000000"/>
      <w:sz w:val="22"/>
      <w:szCs w:val="22"/>
      <w:u w:val="none"/>
    </w:rPr>
  </w:style>
  <w:style w:type="character" w:customStyle="1" w:styleId="68">
    <w:name w:val="font21"/>
    <w:basedOn w:val="31"/>
    <w:qFormat/>
    <w:uiPriority w:val="0"/>
    <w:rPr>
      <w:rFonts w:hint="eastAsia" w:ascii="宋体" w:hAnsi="宋体" w:eastAsia="宋体" w:cs="宋体"/>
      <w:color w:val="000000"/>
      <w:sz w:val="21"/>
      <w:szCs w:val="21"/>
      <w:u w:val="none"/>
    </w:rPr>
  </w:style>
  <w:style w:type="character" w:customStyle="1" w:styleId="69">
    <w:name w:val="font41"/>
    <w:basedOn w:val="31"/>
    <w:qFormat/>
    <w:uiPriority w:val="0"/>
    <w:rPr>
      <w:rFonts w:hint="eastAsia" w:ascii="宋体" w:hAnsi="宋体" w:eastAsia="宋体" w:cs="宋体"/>
      <w:b/>
      <w:bCs/>
      <w:color w:val="000000"/>
      <w:sz w:val="21"/>
      <w:szCs w:val="21"/>
      <w:u w:val="none"/>
    </w:rPr>
  </w:style>
  <w:style w:type="paragraph" w:customStyle="1" w:styleId="70">
    <w:name w:val="_Style 3"/>
    <w:basedOn w:val="1"/>
    <w:qFormat/>
    <w:uiPriority w:val="0"/>
    <w:pPr>
      <w:adjustRightInd/>
      <w:ind w:firstLine="420" w:firstLineChars="200"/>
      <w:jc w:val="both"/>
    </w:pPr>
    <w:rPr>
      <w:rFonts w:ascii="Times New Roman" w:hAnsi="Times New Roman" w:cs="Times New Roman"/>
      <w:kern w:val="2"/>
      <w:sz w:val="21"/>
    </w:rPr>
  </w:style>
  <w:style w:type="character" w:customStyle="1" w:styleId="71">
    <w:name w:val="font31"/>
    <w:basedOn w:val="31"/>
    <w:qFormat/>
    <w:uiPriority w:val="0"/>
    <w:rPr>
      <w:rFonts w:hint="default" w:ascii="Times New Roman" w:hAnsi="Times New Roman" w:cs="Times New Roman"/>
      <w:color w:val="000000"/>
      <w:sz w:val="24"/>
      <w:szCs w:val="24"/>
      <w:u w:val="none"/>
    </w:rPr>
  </w:style>
  <w:style w:type="paragraph" w:customStyle="1" w:styleId="72">
    <w:name w:val="表内"/>
    <w:basedOn w:val="1"/>
    <w:qFormat/>
    <w:uiPriority w:val="0"/>
    <w:pPr>
      <w:spacing w:beforeLines="10" w:afterLines="10"/>
      <w:ind w:firstLine="0" w:firstLineChars="0"/>
    </w:pPr>
    <w:rPr>
      <w:sz w:val="22"/>
      <w:szCs w:val="24"/>
    </w:rPr>
  </w:style>
  <w:style w:type="paragraph" w:customStyle="1" w:styleId="73">
    <w:name w:val="首行缩进"/>
    <w:basedOn w:val="1"/>
    <w:autoRedefine/>
    <w:qFormat/>
    <w:uiPriority w:val="0"/>
    <w:pPr>
      <w:adjustRightInd/>
      <w:spacing w:line="300" w:lineRule="auto"/>
      <w:ind w:firstLine="420" w:firstLineChars="200"/>
      <w:jc w:val="both"/>
    </w:pPr>
    <w:rPr>
      <w:rFonts w:ascii="Calibri" w:hAnsi="Calibri" w:eastAsia="方正书宋简体" w:cs="Times New Roman"/>
      <w:sz w:val="20"/>
    </w:rPr>
  </w:style>
  <w:style w:type="paragraph" w:customStyle="1" w:styleId="74">
    <w:name w:val="p0"/>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31</Pages>
  <Words>5260</Words>
  <Characters>5549</Characters>
  <Lines>55</Lines>
  <Paragraphs>15</Paragraphs>
  <TotalTime>8</TotalTime>
  <ScaleCrop>false</ScaleCrop>
  <LinksUpToDate>false</LinksUpToDate>
  <CharactersWithSpaces>5604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2021-06-30T10:33:00Z</dcterms:created>
  <dc:creator>Administrator</dc:creator>
  <cp:lastModifiedBy> Tang</cp:lastModifiedBy>
  <cp:lastPrinted>2026-05-15T08:41:09Z</cp:lastPrinted>
  <dcterms:modified xsi:type="dcterms:W3CDTF">2026-05-15T08:43:04Z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C8D83661F4C64E4097CC0F45BBE41E08</vt:lpwstr>
  </property>
  <property fmtid="{D5CDD505-2E9C-101B-9397-08002B2CF9AE}" pid="4" name="KSOTemplateDocerSaveRecord">
    <vt:lpwstr>eyJoZGlkIjoiMjA0NzA0NzM0NzFiNjU2ZWZlYTdiNTgzNWMzYjAxNTQiLCJ1c2VySWQiOiIxNjE1MzkzMzQ2In0=</vt:lpwstr>
  </property>
</Properties>
</file>